
<file path=[Content_Types].xml><?xml version="1.0" encoding="utf-8"?>
<Types xmlns="http://schemas.openxmlformats.org/package/2006/content-types">
  <Default Extension="png" ContentType="image/png"/>
  <Default Extension="jpeg" ContentType="image/jpeg"/>
  <Default Extension="emf" ContentType="image/x-emf"/>
  <Default Extension="rels" ContentType="application/vnd.openxmlformats-package.relationships+xml"/>
  <Default Extension="xml" ContentType="application/xml"/>
  <Default Extension="xlsx" ContentType="application/vnd.openxmlformats-officedocument.spreadsheetml.sheet"/>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charts/chart1.xml" ContentType="application/vnd.openxmlformats-officedocument.drawingml.chart+xml"/>
  <Override PartName="/word/charts/chart2.xml" ContentType="application/vnd.openxmlformats-officedocument.drawingml.chart+xml"/>
  <Override PartName="/word/charts/chart3.xml" ContentType="application/vnd.openxmlformats-officedocument.drawingml.chart+xml"/>
  <Override PartName="/word/charts/chart4.xml" ContentType="application/vnd.openxmlformats-officedocument.drawingml.chart+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1271248F" w14:textId="77777777" w:rsidR="00842A79" w:rsidRPr="00BF4A5B" w:rsidRDefault="003910CD" w:rsidP="008C1663">
      <w:pPr>
        <w:jc w:val="center"/>
        <w:rPr>
          <w:b/>
          <w:sz w:val="32"/>
        </w:rPr>
      </w:pPr>
      <w:bookmarkStart w:id="0" w:name="_GoBack"/>
      <w:bookmarkEnd w:id="0"/>
      <w:r>
        <w:rPr>
          <w:b/>
          <w:noProof/>
          <w:sz w:val="32"/>
          <w:lang w:eastAsia="en-CA"/>
        </w:rPr>
        <w:drawing>
          <wp:anchor distT="0" distB="0" distL="114300" distR="114300" simplePos="0" relativeHeight="251658240" behindDoc="1" locked="0" layoutInCell="1" allowOverlap="1" wp14:anchorId="093EDB1A" wp14:editId="4B6821B4">
            <wp:simplePos x="0" y="0"/>
            <wp:positionH relativeFrom="column">
              <wp:posOffset>4352925</wp:posOffset>
            </wp:positionH>
            <wp:positionV relativeFrom="paragraph">
              <wp:posOffset>-180975</wp:posOffset>
            </wp:positionV>
            <wp:extent cx="1310005" cy="1325245"/>
            <wp:effectExtent l="0" t="0" r="0" b="0"/>
            <wp:wrapNone/>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SSIFR_Web_Transparent.png"/>
                    <pic:cNvPicPr/>
                  </pic:nvPicPr>
                  <pic:blipFill>
                    <a:blip r:embed="rId9" cstate="print">
                      <a:extLst>
                        <a:ext uri="{28A0092B-C50C-407E-A947-70E740481C1C}">
                          <a14:useLocalDpi xmlns:a14="http://schemas.microsoft.com/office/drawing/2010/main" val="0"/>
                        </a:ext>
                      </a:extLst>
                    </a:blip>
                    <a:stretch>
                      <a:fillRect/>
                    </a:stretch>
                  </pic:blipFill>
                  <pic:spPr>
                    <a:xfrm>
                      <a:off x="0" y="0"/>
                      <a:ext cx="1310005" cy="1325245"/>
                    </a:xfrm>
                    <a:prstGeom prst="rect">
                      <a:avLst/>
                    </a:prstGeom>
                  </pic:spPr>
                </pic:pic>
              </a:graphicData>
            </a:graphic>
            <wp14:sizeRelH relativeFrom="page">
              <wp14:pctWidth>0</wp14:pctWidth>
            </wp14:sizeRelH>
            <wp14:sizeRelV relativeFrom="page">
              <wp14:pctHeight>0</wp14:pctHeight>
            </wp14:sizeRelV>
          </wp:anchor>
        </w:drawing>
      </w:r>
      <w:r w:rsidR="008C1663" w:rsidRPr="00BF4A5B">
        <w:rPr>
          <w:b/>
          <w:sz w:val="32"/>
        </w:rPr>
        <w:t>Salt Spring Island Fire Rescue</w:t>
      </w:r>
    </w:p>
    <w:p w14:paraId="19943B16" w14:textId="77777777" w:rsidR="008C1663" w:rsidRPr="00BF4A5B" w:rsidRDefault="008C1663" w:rsidP="008C1663">
      <w:pPr>
        <w:jc w:val="center"/>
        <w:rPr>
          <w:b/>
          <w:sz w:val="32"/>
        </w:rPr>
      </w:pPr>
      <w:r w:rsidRPr="00BF4A5B">
        <w:rPr>
          <w:b/>
          <w:sz w:val="32"/>
        </w:rPr>
        <w:t>Fire Chief</w:t>
      </w:r>
      <w:r w:rsidR="000D55EA">
        <w:rPr>
          <w:b/>
          <w:sz w:val="32"/>
        </w:rPr>
        <w:t>’</w:t>
      </w:r>
      <w:r w:rsidRPr="00BF4A5B">
        <w:rPr>
          <w:b/>
          <w:sz w:val="32"/>
        </w:rPr>
        <w:t>s Report</w:t>
      </w:r>
    </w:p>
    <w:p w14:paraId="66AB6E81" w14:textId="77777777" w:rsidR="008C1663" w:rsidRPr="00BF4A5B" w:rsidRDefault="009F7987" w:rsidP="008C1663">
      <w:pPr>
        <w:jc w:val="center"/>
        <w:rPr>
          <w:b/>
          <w:sz w:val="32"/>
        </w:rPr>
      </w:pPr>
      <w:r>
        <w:rPr>
          <w:b/>
          <w:sz w:val="32"/>
        </w:rPr>
        <w:t>March</w:t>
      </w:r>
      <w:r w:rsidR="00B41759">
        <w:rPr>
          <w:b/>
          <w:sz w:val="32"/>
        </w:rPr>
        <w:t xml:space="preserve"> 2016</w:t>
      </w:r>
    </w:p>
    <w:p w14:paraId="59BB3333" w14:textId="77777777" w:rsidR="008C1663" w:rsidRDefault="008C1663" w:rsidP="008C1663">
      <w:pPr>
        <w:jc w:val="center"/>
      </w:pPr>
    </w:p>
    <w:p w14:paraId="20BDD16D" w14:textId="0AD7D914" w:rsidR="00260D46" w:rsidRDefault="008C1663" w:rsidP="008C1663">
      <w:pPr>
        <w:rPr>
          <w:b/>
          <w:u w:val="single"/>
        </w:rPr>
      </w:pPr>
      <w:r w:rsidRPr="00882EBE">
        <w:rPr>
          <w:b/>
          <w:u w:val="single"/>
        </w:rPr>
        <w:t xml:space="preserve">Response </w:t>
      </w:r>
      <w:r w:rsidR="00882EBE" w:rsidRPr="00882EBE">
        <w:rPr>
          <w:b/>
          <w:u w:val="single"/>
        </w:rPr>
        <w:t>Report</w:t>
      </w:r>
    </w:p>
    <w:p w14:paraId="15AF88DE" w14:textId="2451486A" w:rsidR="00260D46" w:rsidRPr="00260D46" w:rsidRDefault="00260D46" w:rsidP="008C1663">
      <w:r>
        <w:t xml:space="preserve">March 2015 has been </w:t>
      </w:r>
      <w:r w:rsidR="005369AA">
        <w:t>one of our lowest call volume</w:t>
      </w:r>
      <w:r>
        <w:t xml:space="preserve"> month</w:t>
      </w:r>
      <w:r w:rsidR="00A177E7">
        <w:t xml:space="preserve">’s </w:t>
      </w:r>
      <w:r>
        <w:t xml:space="preserve">in the past five years with 35 incidents.  At </w:t>
      </w:r>
      <w:r w:rsidR="005369AA">
        <w:t xml:space="preserve">month end (March 2016) SSIFR had </w:t>
      </w:r>
      <w:r>
        <w:t>responded to 119 incidents.</w:t>
      </w:r>
    </w:p>
    <w:p w14:paraId="3463BBFB" w14:textId="77777777" w:rsidR="00601337" w:rsidRDefault="00601337" w:rsidP="008C1663">
      <w:pPr>
        <w:rPr>
          <w:bCs/>
          <w:sz w:val="24"/>
          <w:szCs w:val="24"/>
        </w:rPr>
      </w:pPr>
      <w:r>
        <w:rPr>
          <w:bCs/>
          <w:noProof/>
          <w:sz w:val="24"/>
          <w:szCs w:val="24"/>
          <w:lang w:eastAsia="en-CA"/>
        </w:rPr>
        <w:drawing>
          <wp:inline distT="0" distB="0" distL="0" distR="0" wp14:anchorId="74E1C523" wp14:editId="457B2817">
            <wp:extent cx="5981700" cy="3200400"/>
            <wp:effectExtent l="0" t="0" r="0" b="0"/>
            <wp:docPr id="4" name="Chart 4"/>
            <wp:cNvGraphicFramePr/>
            <a:graphic xmlns:a="http://schemas.openxmlformats.org/drawingml/2006/main">
              <a:graphicData uri="http://schemas.openxmlformats.org/drawingml/2006/chart">
                <c:chart xmlns:c="http://schemas.openxmlformats.org/drawingml/2006/chart" xmlns:r="http://schemas.openxmlformats.org/officeDocument/2006/relationships" r:id="rId10"/>
              </a:graphicData>
            </a:graphic>
          </wp:inline>
        </w:drawing>
      </w:r>
    </w:p>
    <w:p w14:paraId="712F675E" w14:textId="77777777" w:rsidR="00A92179" w:rsidRDefault="00A92179" w:rsidP="008C1663">
      <w:pPr>
        <w:rPr>
          <w:bCs/>
          <w:sz w:val="24"/>
          <w:szCs w:val="24"/>
        </w:rPr>
      </w:pPr>
    </w:p>
    <w:p w14:paraId="429D8386" w14:textId="77777777" w:rsidR="00712DA3" w:rsidRDefault="00A32FD9" w:rsidP="008C1663">
      <w:r>
        <w:rPr>
          <w:noProof/>
          <w:lang w:eastAsia="en-CA"/>
        </w:rPr>
        <w:drawing>
          <wp:inline distT="0" distB="0" distL="0" distR="0" wp14:anchorId="142C6288" wp14:editId="16E32B20">
            <wp:extent cx="5943600" cy="2422869"/>
            <wp:effectExtent l="0" t="0" r="0" b="15875"/>
            <wp:docPr id="1" name="Chart 1"/>
            <wp:cNvGraphicFramePr/>
            <a:graphic xmlns:a="http://schemas.openxmlformats.org/drawingml/2006/main">
              <a:graphicData uri="http://schemas.openxmlformats.org/drawingml/2006/chart">
                <c:chart xmlns:c="http://schemas.openxmlformats.org/drawingml/2006/chart" xmlns:r="http://schemas.openxmlformats.org/officeDocument/2006/relationships" r:id="rId11"/>
              </a:graphicData>
            </a:graphic>
          </wp:inline>
        </w:drawing>
      </w:r>
    </w:p>
    <w:p w14:paraId="2FCB879E" w14:textId="77777777" w:rsidR="0065135E" w:rsidRDefault="0065135E" w:rsidP="00126B19">
      <w:pPr>
        <w:jc w:val="center"/>
      </w:pPr>
    </w:p>
    <w:p w14:paraId="2E1E8D5E" w14:textId="77777777" w:rsidR="00775C93" w:rsidRDefault="00775C93" w:rsidP="00126B19">
      <w:pPr>
        <w:jc w:val="center"/>
      </w:pPr>
    </w:p>
    <w:p w14:paraId="6522283C" w14:textId="3231777B" w:rsidR="00775C93" w:rsidRPr="00DF3BE3" w:rsidRDefault="00775C93" w:rsidP="00F63F9D"/>
    <w:p w14:paraId="6A6E84DF" w14:textId="77777777" w:rsidR="00E6347F" w:rsidRDefault="00E6347F" w:rsidP="0047239D">
      <w:pPr>
        <w:rPr>
          <w:b/>
          <w:u w:val="single"/>
        </w:rPr>
      </w:pPr>
    </w:p>
    <w:p w14:paraId="410BECC2" w14:textId="07DCE96C" w:rsidR="00260D46" w:rsidRDefault="00A177E7" w:rsidP="0047239D">
      <w:pPr>
        <w:rPr>
          <w:b/>
          <w:u w:val="single"/>
        </w:rPr>
      </w:pPr>
      <w:r>
        <w:rPr>
          <w:noProof/>
          <w:lang w:eastAsia="en-CA"/>
        </w:rPr>
        <w:drawing>
          <wp:anchor distT="0" distB="0" distL="114300" distR="114300" simplePos="0" relativeHeight="251677696" behindDoc="0" locked="0" layoutInCell="1" allowOverlap="1" wp14:anchorId="4BCBC8C9" wp14:editId="42A65CC3">
            <wp:simplePos x="0" y="0"/>
            <wp:positionH relativeFrom="margin">
              <wp:posOffset>3709670</wp:posOffset>
            </wp:positionH>
            <wp:positionV relativeFrom="margin">
              <wp:posOffset>7066280</wp:posOffset>
            </wp:positionV>
            <wp:extent cx="449580" cy="449580"/>
            <wp:effectExtent l="0" t="0" r="7620" b="7620"/>
            <wp:wrapSquare wrapText="bothSides"/>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bell-6.png"/>
                    <pic:cNvPicPr/>
                  </pic:nvPicPr>
                  <pic:blipFill>
                    <a:blip r:embed="rId12" cstate="print">
                      <a:extLst>
                        <a:ext uri="{28A0092B-C50C-407E-A947-70E740481C1C}">
                          <a14:useLocalDpi xmlns:a14="http://schemas.microsoft.com/office/drawing/2010/main" val="0"/>
                        </a:ext>
                      </a:extLst>
                    </a:blip>
                    <a:stretch>
                      <a:fillRect/>
                    </a:stretch>
                  </pic:blipFill>
                  <pic:spPr>
                    <a:xfrm>
                      <a:off x="0" y="0"/>
                      <a:ext cx="449580" cy="449580"/>
                    </a:xfrm>
                    <a:prstGeom prst="rect">
                      <a:avLst/>
                    </a:prstGeom>
                  </pic:spPr>
                </pic:pic>
              </a:graphicData>
            </a:graphic>
          </wp:anchor>
        </w:drawing>
      </w:r>
      <w:r w:rsidR="00260D46" w:rsidRPr="00260D46">
        <w:rPr>
          <w:b/>
          <w:noProof/>
          <w:lang w:eastAsia="en-CA"/>
        </w:rPr>
        <w:drawing>
          <wp:inline distT="0" distB="0" distL="0" distR="0" wp14:anchorId="5CF8F5A1" wp14:editId="3420F74D">
            <wp:extent cx="4978400" cy="6388100"/>
            <wp:effectExtent l="0" t="0" r="0" b="12700"/>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Screen Shot 2016-04-13 at 1.08.20 PM.png"/>
                    <pic:cNvPicPr/>
                  </pic:nvPicPr>
                  <pic:blipFill>
                    <a:blip r:embed="rId13">
                      <a:extLst>
                        <a:ext uri="{28A0092B-C50C-407E-A947-70E740481C1C}">
                          <a14:useLocalDpi xmlns:a14="http://schemas.microsoft.com/office/drawing/2010/main" val="0"/>
                        </a:ext>
                      </a:extLst>
                    </a:blip>
                    <a:stretch>
                      <a:fillRect/>
                    </a:stretch>
                  </pic:blipFill>
                  <pic:spPr>
                    <a:xfrm>
                      <a:off x="0" y="0"/>
                      <a:ext cx="4978400" cy="6388100"/>
                    </a:xfrm>
                    <a:prstGeom prst="rect">
                      <a:avLst/>
                    </a:prstGeom>
                  </pic:spPr>
                </pic:pic>
              </a:graphicData>
            </a:graphic>
          </wp:inline>
        </w:drawing>
      </w:r>
    </w:p>
    <w:p w14:paraId="2CEC619D" w14:textId="48DAAAF2" w:rsidR="0047239D" w:rsidRPr="00882EBE" w:rsidRDefault="0047239D" w:rsidP="0047239D">
      <w:pPr>
        <w:rPr>
          <w:b/>
          <w:u w:val="single"/>
        </w:rPr>
      </w:pPr>
      <w:r w:rsidRPr="00882EBE">
        <w:rPr>
          <w:b/>
          <w:u w:val="single"/>
        </w:rPr>
        <w:t>Operations</w:t>
      </w:r>
      <w:r>
        <w:rPr>
          <w:b/>
          <w:u w:val="single"/>
        </w:rPr>
        <w:t xml:space="preserve"> Update</w:t>
      </w:r>
    </w:p>
    <w:p w14:paraId="00B1B762" w14:textId="35C1B43E" w:rsidR="00A177E7" w:rsidRDefault="00260D46" w:rsidP="008C1663">
      <w:r>
        <w:t xml:space="preserve">The new updated call map includes a new icon for Fire Alarms. </w:t>
      </w:r>
    </w:p>
    <w:p w14:paraId="03698E85" w14:textId="7F868ED5" w:rsidR="00882EBE" w:rsidRDefault="00260D46" w:rsidP="008C1663">
      <w:r>
        <w:t>This icon will represent a commercial or a residential fire alarm activation.  Fire Alarms can be activated intentionally or accide</w:t>
      </w:r>
      <w:r w:rsidR="00A177E7">
        <w:t>ntally.  SSIFR responds to all a</w:t>
      </w:r>
      <w:r>
        <w:t>larms as a “fire” until it can be confirmed a false alarm.</w:t>
      </w:r>
    </w:p>
    <w:p w14:paraId="038D2690" w14:textId="77777777" w:rsidR="00E34FDD" w:rsidRDefault="00E34FDD" w:rsidP="008C1663">
      <w:pPr>
        <w:rPr>
          <w:b/>
          <w:u w:val="single"/>
        </w:rPr>
      </w:pPr>
    </w:p>
    <w:p w14:paraId="79839737" w14:textId="77777777" w:rsidR="00431388" w:rsidRDefault="00431388" w:rsidP="008C1663">
      <w:pPr>
        <w:rPr>
          <w:b/>
          <w:u w:val="single"/>
        </w:rPr>
      </w:pPr>
    </w:p>
    <w:p w14:paraId="484CFFB5" w14:textId="77777777" w:rsidR="00431388" w:rsidRDefault="00431388" w:rsidP="008C1663">
      <w:pPr>
        <w:rPr>
          <w:b/>
          <w:u w:val="single"/>
        </w:rPr>
      </w:pPr>
    </w:p>
    <w:p w14:paraId="590D1629" w14:textId="77777777" w:rsidR="00BF4A5B" w:rsidRPr="00BF4A5B" w:rsidRDefault="004B7A8B" w:rsidP="008C1663">
      <w:pPr>
        <w:rPr>
          <w:b/>
          <w:u w:val="single"/>
        </w:rPr>
      </w:pPr>
      <w:r>
        <w:rPr>
          <w:b/>
          <w:u w:val="single"/>
        </w:rPr>
        <w:t>Membership</w:t>
      </w:r>
    </w:p>
    <w:p w14:paraId="66181768" w14:textId="53C81F1F" w:rsidR="00F06349" w:rsidRDefault="00F06349" w:rsidP="00F06349">
      <w:r>
        <w:rPr>
          <w:noProof/>
          <w:lang w:eastAsia="en-CA"/>
        </w:rPr>
        <w:drawing>
          <wp:anchor distT="0" distB="0" distL="114300" distR="114300" simplePos="0" relativeHeight="251673600" behindDoc="0" locked="0" layoutInCell="1" allowOverlap="1" wp14:anchorId="1BE75D0A" wp14:editId="7946A135">
            <wp:simplePos x="0" y="0"/>
            <wp:positionH relativeFrom="column">
              <wp:posOffset>600075</wp:posOffset>
            </wp:positionH>
            <wp:positionV relativeFrom="paragraph">
              <wp:posOffset>152400</wp:posOffset>
            </wp:positionV>
            <wp:extent cx="4772025" cy="2638425"/>
            <wp:effectExtent l="0" t="0" r="9525" b="9525"/>
            <wp:wrapSquare wrapText="bothSides"/>
            <wp:docPr id="2" name="Chart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4"/>
              </a:graphicData>
            </a:graphic>
          </wp:anchor>
        </w:drawing>
      </w:r>
    </w:p>
    <w:p w14:paraId="4546DBEE" w14:textId="3E381DC4" w:rsidR="00A92179" w:rsidRDefault="00F06349" w:rsidP="00A92179">
      <w:r>
        <w:br w:type="textWrapping" w:clear="all"/>
      </w:r>
    </w:p>
    <w:p w14:paraId="498413A5" w14:textId="06CEF2EA" w:rsidR="00B072ED" w:rsidRDefault="00A92179" w:rsidP="00A92179">
      <w:r>
        <w:t xml:space="preserve">Our current membership as of </w:t>
      </w:r>
      <w:r w:rsidR="005369AA">
        <w:t>March</w:t>
      </w:r>
      <w:r w:rsidR="00A177E7">
        <w:t xml:space="preserve"> 2016 is 41</w:t>
      </w:r>
      <w:r>
        <w:t xml:space="preserve"> members.  </w:t>
      </w:r>
      <w:r w:rsidR="005369AA">
        <w:t xml:space="preserve">We have two members on a leave of absence (LOA).  Both LOA’s are for personal leaves, one three months, </w:t>
      </w:r>
      <w:r w:rsidR="00A177E7">
        <w:t xml:space="preserve">and </w:t>
      </w:r>
      <w:r w:rsidR="005369AA">
        <w:t xml:space="preserve">one </w:t>
      </w:r>
      <w:r w:rsidR="00A177E7">
        <w:t xml:space="preserve">for </w:t>
      </w:r>
      <w:r w:rsidR="005369AA">
        <w:t>six months.  We hope to see both of them back soon.</w:t>
      </w:r>
      <w:r w:rsidR="00431388">
        <w:t xml:space="preserve">  Also as of April 1</w:t>
      </w:r>
      <w:r w:rsidR="00431388" w:rsidRPr="00431388">
        <w:rPr>
          <w:vertAlign w:val="superscript"/>
        </w:rPr>
        <w:t>st</w:t>
      </w:r>
      <w:r w:rsidR="00431388">
        <w:t xml:space="preserve"> we welcome back one of our members who was on a </w:t>
      </w:r>
      <w:r w:rsidR="00B23989">
        <w:t>3-month</w:t>
      </w:r>
      <w:r w:rsidR="00431388">
        <w:t xml:space="preserve"> personal leave of absence.  </w:t>
      </w:r>
    </w:p>
    <w:p w14:paraId="4A70098F" w14:textId="417B3F6F" w:rsidR="0065135E" w:rsidRDefault="007C217F" w:rsidP="00A92179">
      <w:r>
        <w:rPr>
          <w:noProof/>
          <w:lang w:eastAsia="en-CA"/>
        </w:rPr>
        <w:drawing>
          <wp:anchor distT="0" distB="0" distL="114300" distR="114300" simplePos="0" relativeHeight="251676672" behindDoc="0" locked="0" layoutInCell="1" allowOverlap="1" wp14:anchorId="50A2D1C3" wp14:editId="1F666288">
            <wp:simplePos x="0" y="0"/>
            <wp:positionH relativeFrom="margin">
              <wp:posOffset>3366770</wp:posOffset>
            </wp:positionH>
            <wp:positionV relativeFrom="margin">
              <wp:posOffset>4208780</wp:posOffset>
            </wp:positionV>
            <wp:extent cx="2616200" cy="3378200"/>
            <wp:effectExtent l="0" t="0" r="0" b="0"/>
            <wp:wrapSquare wrapText="bothSides"/>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CRD paging coverage - pacrim.jpg"/>
                    <pic:cNvPicPr/>
                  </pic:nvPicPr>
                  <pic:blipFill rotWithShape="1">
                    <a:blip r:embed="rId15" cstate="print">
                      <a:extLst>
                        <a:ext uri="{28A0092B-C50C-407E-A947-70E740481C1C}">
                          <a14:useLocalDpi xmlns:a14="http://schemas.microsoft.com/office/drawing/2010/main" val="0"/>
                        </a:ext>
                      </a:extLst>
                    </a:blip>
                    <a:srcRect l="23077" t="3916" r="32906" b="54414"/>
                    <a:stretch/>
                  </pic:blipFill>
                  <pic:spPr bwMode="auto">
                    <a:xfrm>
                      <a:off x="0" y="0"/>
                      <a:ext cx="2616200" cy="3378200"/>
                    </a:xfrm>
                    <a:prstGeom prst="rect">
                      <a:avLst/>
                    </a:prstGeom>
                    <a:ln>
                      <a:noFill/>
                    </a:ln>
                    <a:extLst>
                      <a:ext uri="{53640926-AAD7-44D8-BBD7-CCE9431645EC}">
                        <a14:shadowObscured xmlns:a14="http://schemas.microsoft.com/office/drawing/2010/main"/>
                      </a:ext>
                    </a:extLst>
                  </pic:spPr>
                </pic:pic>
              </a:graphicData>
            </a:graphic>
          </wp:anchor>
        </w:drawing>
      </w:r>
      <w:r w:rsidR="00B072ED">
        <w:t xml:space="preserve">At a recent Fire Service Leadership meeting in Langford, we received some new information regarding the CREST radio system that we currently use.  CREST stands for </w:t>
      </w:r>
      <w:r w:rsidR="00B072ED" w:rsidRPr="00B072ED">
        <w:rPr>
          <w:i/>
        </w:rPr>
        <w:t>Capital Region Emergency Services Telecommunications.</w:t>
      </w:r>
      <w:r w:rsidR="00B072ED">
        <w:rPr>
          <w:i/>
        </w:rPr>
        <w:t xml:space="preserve">  </w:t>
      </w:r>
      <w:r w:rsidR="00B072ED">
        <w:t>The system we are using is going to b</w:t>
      </w:r>
      <w:r w:rsidR="00A177E7">
        <w:t>e replaced by a new P25</w:t>
      </w:r>
      <w:r w:rsidR="00B072ED">
        <w:t xml:space="preserve"> digital system by 2018.  There are no exact budget details or costing available yet, but should be available in the near future.  The new system will require all new portable radios, new mobile radios, new repeaters, and new pagers.  The system will also provide Salt Spring Island with better digital radio and pager coverage.</w:t>
      </w:r>
    </w:p>
    <w:p w14:paraId="6C51E39E" w14:textId="3D9A10C4" w:rsidR="00B072ED" w:rsidRDefault="00B072ED" w:rsidP="00A92179">
      <w:r>
        <w:t xml:space="preserve">Below is a map of the current pager/ radio coverage.  The west side of Salt Spring Island is shaded as poor, and the new digital system should help in these areas.  I would recommend that we </w:t>
      </w:r>
      <w:r w:rsidR="007C217F">
        <w:t>begin the radio/pager switch over as early as possible so we are trained and prepared come 2018.</w:t>
      </w:r>
      <w:r w:rsidR="00A177E7">
        <w:t xml:space="preserve">  I will present budget figures as soon as possible and available from CREST.</w:t>
      </w:r>
    </w:p>
    <w:p w14:paraId="461B444C" w14:textId="5D8D53F1" w:rsidR="00B072ED" w:rsidRDefault="007C217F" w:rsidP="00A92179">
      <w:r>
        <w:t xml:space="preserve">The other main topic of discussion at the Fire Service Leadership meeting was the BC OFC Playbook.  The departments that were represented at the meeting concentrated on record keeping and documentation.  </w:t>
      </w:r>
    </w:p>
    <w:p w14:paraId="15FB1CD2" w14:textId="0F917DAA" w:rsidR="007C217F" w:rsidRDefault="007C217F" w:rsidP="00A92179">
      <w:r>
        <w:lastRenderedPageBreak/>
        <w:t>As a follow-up to the February Trustee meeting, here is a list of departments and the reasoning why they selected the service level they did.  Most Fire Chief’s I talked to, had the municipality follow the Chief’s recommendations, and one other increased the level from which the Fire Chief recommended.</w:t>
      </w:r>
    </w:p>
    <w:p w14:paraId="44985E8A" w14:textId="1563550B" w:rsidR="009644A7" w:rsidRDefault="007B25DC" w:rsidP="00A92179">
      <w:r>
        <w:object w:dxaOrig="15340" w:dyaOrig="17140" w14:anchorId="5B2D4107">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536.25pt;height:599.25pt" o:ole="">
            <v:imagedata r:id="rId16" o:title=""/>
          </v:shape>
          <o:OLEObject Type="Embed" ProgID="Excel.Sheet.12" ShapeID="_x0000_i1025" DrawAspect="Content" ObjectID="_1522306367" r:id="rId17"/>
        </w:object>
      </w:r>
      <w:r w:rsidR="003E019E">
        <w:t>The “?”</w:t>
      </w:r>
      <w:r w:rsidR="00205E1F">
        <w:t xml:space="preserve"> refers t</w:t>
      </w:r>
      <w:r w:rsidR="003E019E">
        <w:t xml:space="preserve">o </w:t>
      </w:r>
      <w:r>
        <w:t>FD’s</w:t>
      </w:r>
      <w:r w:rsidR="003E019E">
        <w:t xml:space="preserve"> that are </w:t>
      </w:r>
      <w:r w:rsidR="009644A7">
        <w:t>in the process</w:t>
      </w:r>
      <w:r w:rsidR="00C57DEB">
        <w:t>,</w:t>
      </w:r>
      <w:r w:rsidR="009644A7">
        <w:t xml:space="preserve"> but h</w:t>
      </w:r>
      <w:r w:rsidR="00205E1F">
        <w:t>ave not officially declared or no reasoning was provided</w:t>
      </w:r>
      <w:r w:rsidR="00C57DEB">
        <w:t>.</w:t>
      </w:r>
    </w:p>
    <w:p w14:paraId="08A13370" w14:textId="2A21A627" w:rsidR="003E019E" w:rsidRDefault="003E019E" w:rsidP="00A92179">
      <w:r>
        <w:t>Here is a snapshot of the Fire Depar</w:t>
      </w:r>
      <w:r w:rsidR="00F66302">
        <w:t>tments that have declared or are the final process of declaring.</w:t>
      </w:r>
    </w:p>
    <w:p w14:paraId="726F1265" w14:textId="7A070362" w:rsidR="00F66302" w:rsidRDefault="00F66302" w:rsidP="00A92179">
      <w:r>
        <w:rPr>
          <w:noProof/>
          <w:lang w:eastAsia="en-CA"/>
        </w:rPr>
        <w:lastRenderedPageBreak/>
        <w:drawing>
          <wp:anchor distT="0" distB="0" distL="114300" distR="114300" simplePos="0" relativeHeight="251678720" behindDoc="0" locked="0" layoutInCell="1" allowOverlap="1" wp14:anchorId="19E15F85" wp14:editId="2847AF62">
            <wp:simplePos x="0" y="0"/>
            <wp:positionH relativeFrom="column">
              <wp:posOffset>737870</wp:posOffset>
            </wp:positionH>
            <wp:positionV relativeFrom="paragraph">
              <wp:posOffset>45720</wp:posOffset>
            </wp:positionV>
            <wp:extent cx="4051935" cy="1983740"/>
            <wp:effectExtent l="0" t="0" r="12065" b="22860"/>
            <wp:wrapTight wrapText="bothSides">
              <wp:wrapPolygon edited="0">
                <wp:start x="0" y="0"/>
                <wp:lineTo x="0" y="21572"/>
                <wp:lineTo x="21529" y="21572"/>
                <wp:lineTo x="21529" y="0"/>
                <wp:lineTo x="0" y="0"/>
              </wp:wrapPolygon>
            </wp:wrapTight>
            <wp:docPr id="6" name="Chart 6"/>
            <wp:cNvGraphicFramePr/>
            <a:graphic xmlns:a="http://schemas.openxmlformats.org/drawingml/2006/main">
              <a:graphicData uri="http://schemas.openxmlformats.org/drawingml/2006/chart">
                <c:chart xmlns:c="http://schemas.openxmlformats.org/drawingml/2006/chart" xmlns:r="http://schemas.openxmlformats.org/officeDocument/2006/relationships" r:id="rId18"/>
              </a:graphicData>
            </a:graphic>
            <wp14:sizeRelH relativeFrom="page">
              <wp14:pctWidth>0</wp14:pctWidth>
            </wp14:sizeRelH>
            <wp14:sizeRelV relativeFrom="page">
              <wp14:pctHeight>0</wp14:pctHeight>
            </wp14:sizeRelV>
          </wp:anchor>
        </w:drawing>
      </w:r>
    </w:p>
    <w:p w14:paraId="61200729" w14:textId="77777777" w:rsidR="00FD1AD8" w:rsidRDefault="00FD1AD8" w:rsidP="008C1663">
      <w:pPr>
        <w:rPr>
          <w:b/>
          <w:u w:val="single"/>
        </w:rPr>
      </w:pPr>
    </w:p>
    <w:p w14:paraId="11550C31" w14:textId="77777777" w:rsidR="00FD1AD8" w:rsidRDefault="00FD1AD8" w:rsidP="008C1663">
      <w:pPr>
        <w:rPr>
          <w:b/>
          <w:u w:val="single"/>
        </w:rPr>
      </w:pPr>
    </w:p>
    <w:p w14:paraId="06C1736B" w14:textId="77777777" w:rsidR="00FD1AD8" w:rsidRDefault="00FD1AD8" w:rsidP="008C1663">
      <w:pPr>
        <w:rPr>
          <w:b/>
          <w:u w:val="single"/>
        </w:rPr>
      </w:pPr>
    </w:p>
    <w:p w14:paraId="46758B84" w14:textId="56A348C4" w:rsidR="00FD1AD8" w:rsidRDefault="00FD1AD8" w:rsidP="008C1663">
      <w:pPr>
        <w:rPr>
          <w:b/>
          <w:u w:val="single"/>
        </w:rPr>
      </w:pPr>
    </w:p>
    <w:p w14:paraId="267610E9" w14:textId="0744BF3F" w:rsidR="00FD1AD8" w:rsidRDefault="00FD1AD8" w:rsidP="008C1663">
      <w:pPr>
        <w:rPr>
          <w:b/>
          <w:u w:val="single"/>
        </w:rPr>
      </w:pPr>
    </w:p>
    <w:p w14:paraId="1A7378D6" w14:textId="77777777" w:rsidR="00FD1AD8" w:rsidRDefault="00FD1AD8" w:rsidP="008C1663">
      <w:pPr>
        <w:rPr>
          <w:b/>
          <w:u w:val="single"/>
        </w:rPr>
      </w:pPr>
    </w:p>
    <w:p w14:paraId="5AEF7A70" w14:textId="17A22F06" w:rsidR="00FD1AD8" w:rsidRDefault="00FD1AD8" w:rsidP="008C1663">
      <w:pPr>
        <w:rPr>
          <w:b/>
          <w:u w:val="single"/>
        </w:rPr>
      </w:pPr>
    </w:p>
    <w:p w14:paraId="312809BF" w14:textId="77777777" w:rsidR="008C1663" w:rsidRDefault="008C1663" w:rsidP="008C1663">
      <w:pPr>
        <w:rPr>
          <w:b/>
          <w:u w:val="single"/>
        </w:rPr>
      </w:pPr>
      <w:r w:rsidRPr="00990BAE">
        <w:rPr>
          <w:b/>
          <w:u w:val="single"/>
        </w:rPr>
        <w:t>Training Division</w:t>
      </w:r>
    </w:p>
    <w:p w14:paraId="7A1F6ACD" w14:textId="4034C10B" w:rsidR="00B23989" w:rsidRPr="0029330C" w:rsidRDefault="0029330C" w:rsidP="008C1663">
      <w:r>
        <w:t xml:space="preserve">Six junior members </w:t>
      </w:r>
      <w:r w:rsidR="004C133F">
        <w:t>successfully passed the Code 3 Driver training course (SOFA) in Victoria.  This course is one of the final requirements to be eligible to operate a SSIFR apparatus Code 3.  To become a Code 3 Driver firefighters are required to complete the in-house training, Air Brakes, Code 3 Driver, pumps and pumping, and a final driving test with SSIFR evaluators.</w:t>
      </w:r>
    </w:p>
    <w:p w14:paraId="22513ECC" w14:textId="291FA85A" w:rsidR="00B23989" w:rsidRDefault="004C133F" w:rsidP="008C1663">
      <w:r>
        <w:t>Three of our Offi</w:t>
      </w:r>
      <w:r w:rsidR="00C57DEB">
        <w:t>cers had a chance to listen to f</w:t>
      </w:r>
      <w:r>
        <w:t xml:space="preserve">ormer Saskatchewan Fire Chief Les Karpluck </w:t>
      </w:r>
      <w:r w:rsidR="00C57DEB">
        <w:t xml:space="preserve">in Errington BC </w:t>
      </w:r>
      <w:r>
        <w:t xml:space="preserve">on Fire Service Leadership.  Upon returning the three Officers shared their experiences and nuggets of leadership with the rest of our Officership.  </w:t>
      </w:r>
      <w:r w:rsidR="00C57DEB">
        <w:t>The topic of l</w:t>
      </w:r>
      <w:r>
        <w:t>eading different generations really hit home for our Officers and brewed great discussion on the future of Recruitment and Retention.</w:t>
      </w:r>
    </w:p>
    <w:p w14:paraId="17C56015" w14:textId="3858C7E7" w:rsidR="005F66BC" w:rsidRPr="005F66BC" w:rsidRDefault="004C133F" w:rsidP="008C1663">
      <w:r>
        <w:t>We have been training with Ground Search and Rescue (GSAR) for a while in regards to technical rope rescue, but we have recently extended the partnership to include our First Responder training.  Working with GSAR has proven to be beneficial for both agencies.</w:t>
      </w:r>
    </w:p>
    <w:p w14:paraId="6A3CAE4B" w14:textId="5EF038CB" w:rsidR="006B7818" w:rsidRDefault="006B7818" w:rsidP="006B7818">
      <w:pPr>
        <w:rPr>
          <w:b/>
          <w:u w:val="single"/>
        </w:rPr>
      </w:pPr>
      <w:r>
        <w:rPr>
          <w:b/>
          <w:u w:val="single"/>
        </w:rPr>
        <w:t>Inspection and Public Education</w:t>
      </w:r>
      <w:r w:rsidRPr="00990BAE">
        <w:rPr>
          <w:b/>
          <w:u w:val="single"/>
        </w:rPr>
        <w:t xml:space="preserve"> Division</w:t>
      </w:r>
    </w:p>
    <w:p w14:paraId="34F77519" w14:textId="2D1D2AFD" w:rsidR="006B7818" w:rsidRPr="006B7818" w:rsidRDefault="00DB48C9" w:rsidP="008C1663">
      <w:r>
        <w:t>For the month of</w:t>
      </w:r>
      <w:r w:rsidR="006B7818">
        <w:t xml:space="preserve"> March eighteen (18) Fire and Life Safety Inspections were completed along with one (1) subdivision review.  Our Public Education team conducted a First Aid, Fire Extinguisher and kitchen safety </w:t>
      </w:r>
      <w:r w:rsidR="00FD1AD8">
        <w:t xml:space="preserve">workshop for </w:t>
      </w:r>
      <w:r w:rsidR="006B7818">
        <w:t>30 GISS cafeteria students.  We also had six (6) Fire Hall tours, learning the ins and outs of our Fire Trucks, equipment and fire safety infor</w:t>
      </w:r>
      <w:r w:rsidR="00FD1AD8">
        <w:t xml:space="preserve">mation.  Planning and organizing </w:t>
      </w:r>
      <w:r w:rsidR="006B7818">
        <w:t xml:space="preserve">has </w:t>
      </w:r>
      <w:r>
        <w:t xml:space="preserve">also </w:t>
      </w:r>
      <w:r w:rsidR="006B7818">
        <w:t xml:space="preserve">begun for the </w:t>
      </w:r>
      <w:r w:rsidR="00FD1AD8">
        <w:t xml:space="preserve">annual P.A.R.T.Y program event held in conjunction with VIHA, BCAS, RCMP, and Lady Minto Hospital.  </w:t>
      </w:r>
    </w:p>
    <w:p w14:paraId="60E12FCC" w14:textId="78502772" w:rsidR="008C1663" w:rsidRDefault="008C1663" w:rsidP="008C1663">
      <w:pPr>
        <w:rPr>
          <w:b/>
          <w:u w:val="single"/>
        </w:rPr>
      </w:pPr>
      <w:r w:rsidRPr="00B74F28">
        <w:rPr>
          <w:b/>
          <w:u w:val="single"/>
        </w:rPr>
        <w:t>Upcoming Events</w:t>
      </w:r>
    </w:p>
    <w:p w14:paraId="7D11AEAA" w14:textId="2172B27C" w:rsidR="00A071FE" w:rsidRDefault="00A071FE" w:rsidP="00B23989">
      <w:pPr>
        <w:pStyle w:val="ListParagraph"/>
        <w:numPr>
          <w:ilvl w:val="0"/>
          <w:numId w:val="4"/>
        </w:numPr>
      </w:pPr>
      <w:r>
        <w:t>April 24</w:t>
      </w:r>
      <w:r w:rsidRPr="00B23989">
        <w:rPr>
          <w:vertAlign w:val="superscript"/>
        </w:rPr>
        <w:t>th</w:t>
      </w:r>
      <w:r>
        <w:t xml:space="preserve"> junior members will be attending the Code Three driving course (SOFA) in Victoria</w:t>
      </w:r>
    </w:p>
    <w:p w14:paraId="6118361F" w14:textId="7BF708BC" w:rsidR="00BA5B72" w:rsidRDefault="00A071FE" w:rsidP="008C1663">
      <w:pPr>
        <w:pStyle w:val="ListParagraph"/>
        <w:numPr>
          <w:ilvl w:val="0"/>
          <w:numId w:val="4"/>
        </w:numPr>
      </w:pPr>
      <w:r>
        <w:t>April 24</w:t>
      </w:r>
      <w:r w:rsidRPr="00B23989">
        <w:rPr>
          <w:vertAlign w:val="superscript"/>
        </w:rPr>
        <w:t>th</w:t>
      </w:r>
      <w:r>
        <w:t xml:space="preserve"> junior members will be taking the HAZMAT awareness level course on-island instructed by our in-house instructors.</w:t>
      </w:r>
    </w:p>
    <w:p w14:paraId="5DF6C728" w14:textId="4F171E8A" w:rsidR="004D373E" w:rsidRDefault="00DB48C9" w:rsidP="008C1663">
      <w:r>
        <w:rPr>
          <w:noProof/>
          <w:lang w:eastAsia="en-CA"/>
        </w:rPr>
        <w:drawing>
          <wp:anchor distT="0" distB="0" distL="114300" distR="114300" simplePos="0" relativeHeight="251675648" behindDoc="1" locked="0" layoutInCell="1" allowOverlap="1" wp14:anchorId="26F9E5E3" wp14:editId="46F35958">
            <wp:simplePos x="0" y="0"/>
            <wp:positionH relativeFrom="margin">
              <wp:posOffset>165735</wp:posOffset>
            </wp:positionH>
            <wp:positionV relativeFrom="margin">
              <wp:posOffset>7872095</wp:posOffset>
            </wp:positionV>
            <wp:extent cx="597096" cy="688340"/>
            <wp:effectExtent l="0" t="0" r="12700" b="0"/>
            <wp:wrapNone/>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AjSignHeavy.JPG"/>
                    <pic:cNvPicPr/>
                  </pic:nvPicPr>
                  <pic:blipFill>
                    <a:blip r:embed="rId19" cstate="print">
                      <a:extLst>
                        <a:ext uri="{28A0092B-C50C-407E-A947-70E740481C1C}">
                          <a14:useLocalDpi xmlns:a14="http://schemas.microsoft.com/office/drawing/2010/main" val="0"/>
                        </a:ext>
                      </a:extLst>
                    </a:blip>
                    <a:stretch>
                      <a:fillRect/>
                    </a:stretch>
                  </pic:blipFill>
                  <pic:spPr>
                    <a:xfrm>
                      <a:off x="0" y="0"/>
                      <a:ext cx="597096" cy="688340"/>
                    </a:xfrm>
                    <a:prstGeom prst="rect">
                      <a:avLst/>
                    </a:prstGeom>
                  </pic:spPr>
                </pic:pic>
              </a:graphicData>
            </a:graphic>
            <wp14:sizeRelH relativeFrom="margin">
              <wp14:pctWidth>0</wp14:pctWidth>
            </wp14:sizeRelH>
            <wp14:sizeRelV relativeFrom="margin">
              <wp14:pctHeight>0</wp14:pctHeight>
            </wp14:sizeRelV>
          </wp:anchor>
        </w:drawing>
      </w:r>
      <w:r w:rsidR="004D373E">
        <w:t>Respectfully Submitted</w:t>
      </w:r>
    </w:p>
    <w:p w14:paraId="302368FE" w14:textId="0B7877C3" w:rsidR="003071DA" w:rsidRDefault="003071DA" w:rsidP="003071DA"/>
    <w:p w14:paraId="0A13D012" w14:textId="77777777" w:rsidR="00DB48C9" w:rsidRDefault="00DB48C9" w:rsidP="00DB48C9"/>
    <w:p w14:paraId="106870A9" w14:textId="780029EC" w:rsidR="003071DA" w:rsidRDefault="003071DA" w:rsidP="003071DA">
      <w:r>
        <w:t>Arjuna George</w:t>
      </w:r>
      <w:r w:rsidR="00DB48C9">
        <w:t>,  Acting Fire Chief</w:t>
      </w:r>
    </w:p>
    <w:sectPr w:rsidR="003071DA" w:rsidSect="007B25DC">
      <w:footerReference w:type="default" r:id="rId20"/>
      <w:pgSz w:w="12240" w:h="15840"/>
      <w:pgMar w:top="567" w:right="1440" w:bottom="193" w:left="1440"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5C68BD2" w14:textId="77777777" w:rsidR="00516797" w:rsidRDefault="00516797" w:rsidP="007F77FF">
      <w:pPr>
        <w:spacing w:after="0" w:line="240" w:lineRule="auto"/>
      </w:pPr>
      <w:r>
        <w:separator/>
      </w:r>
    </w:p>
  </w:endnote>
  <w:endnote w:type="continuationSeparator" w:id="0">
    <w:p w14:paraId="309793A3" w14:textId="77777777" w:rsidR="00516797" w:rsidRDefault="00516797" w:rsidP="007F77F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Segoe UI">
    <w:panose1 w:val="020B0502040204020203"/>
    <w:charset w:val="00"/>
    <w:family w:val="swiss"/>
    <w:notTrueType/>
    <w:pitch w:val="variable"/>
    <w:sig w:usb0="00000003" w:usb1="00000000" w:usb2="00000000" w:usb3="00000000" w:csb0="000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14:paraId="049F29B8" w14:textId="77777777" w:rsidR="007F77FF" w:rsidRDefault="007F77FF">
    <w:pPr>
      <w:pStyle w:val="Footer"/>
    </w:pPr>
    <w:r>
      <w:t>www.saltspringfire.com</w:t>
    </w:r>
  </w:p>
  <w:p w14:paraId="69102CE4" w14:textId="77777777" w:rsidR="007F77FF" w:rsidRDefault="007F77FF">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5FE38E9F" w14:textId="77777777" w:rsidR="00516797" w:rsidRDefault="00516797" w:rsidP="007F77FF">
      <w:pPr>
        <w:spacing w:after="0" w:line="240" w:lineRule="auto"/>
      </w:pPr>
      <w:r>
        <w:separator/>
      </w:r>
    </w:p>
  </w:footnote>
  <w:footnote w:type="continuationSeparator" w:id="0">
    <w:p w14:paraId="26518959" w14:textId="77777777" w:rsidR="00516797" w:rsidRDefault="00516797" w:rsidP="007F77FF">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C96B15"/>
    <w:multiLevelType w:val="hybridMultilevel"/>
    <w:tmpl w:val="CADAA9AE"/>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1">
    <w:nsid w:val="21E21926"/>
    <w:multiLevelType w:val="hybridMultilevel"/>
    <w:tmpl w:val="0446550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22F42725"/>
    <w:multiLevelType w:val="hybridMultilevel"/>
    <w:tmpl w:val="BC04922C"/>
    <w:lvl w:ilvl="0" w:tplc="E2789EB2">
      <w:start w:val="46"/>
      <w:numFmt w:val="bullet"/>
      <w:lvlText w:val="-"/>
      <w:lvlJc w:val="left"/>
      <w:pPr>
        <w:ind w:left="720" w:hanging="360"/>
      </w:pPr>
      <w:rPr>
        <w:rFonts w:ascii="Calibri" w:eastAsiaTheme="minorHAnsi" w:hAnsi="Calibri" w:cstheme="minorBidi"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abstractNum w:abstractNumId="3">
    <w:nsid w:val="26EA22E9"/>
    <w:multiLevelType w:val="hybridMultilevel"/>
    <w:tmpl w:val="19727D82"/>
    <w:lvl w:ilvl="0" w:tplc="10090001">
      <w:start w:val="1"/>
      <w:numFmt w:val="bullet"/>
      <w:lvlText w:val=""/>
      <w:lvlJc w:val="left"/>
      <w:pPr>
        <w:ind w:left="720" w:hanging="360"/>
      </w:pPr>
      <w:rPr>
        <w:rFonts w:ascii="Symbol" w:hAnsi="Symbol" w:hint="default"/>
      </w:rPr>
    </w:lvl>
    <w:lvl w:ilvl="1" w:tplc="10090003" w:tentative="1">
      <w:start w:val="1"/>
      <w:numFmt w:val="bullet"/>
      <w:lvlText w:val="o"/>
      <w:lvlJc w:val="left"/>
      <w:pPr>
        <w:ind w:left="1440" w:hanging="360"/>
      </w:pPr>
      <w:rPr>
        <w:rFonts w:ascii="Courier New" w:hAnsi="Courier New" w:cs="Courier New" w:hint="default"/>
      </w:rPr>
    </w:lvl>
    <w:lvl w:ilvl="2" w:tplc="10090005" w:tentative="1">
      <w:start w:val="1"/>
      <w:numFmt w:val="bullet"/>
      <w:lvlText w:val=""/>
      <w:lvlJc w:val="left"/>
      <w:pPr>
        <w:ind w:left="2160" w:hanging="360"/>
      </w:pPr>
      <w:rPr>
        <w:rFonts w:ascii="Wingdings" w:hAnsi="Wingdings" w:hint="default"/>
      </w:rPr>
    </w:lvl>
    <w:lvl w:ilvl="3" w:tplc="10090001" w:tentative="1">
      <w:start w:val="1"/>
      <w:numFmt w:val="bullet"/>
      <w:lvlText w:val=""/>
      <w:lvlJc w:val="left"/>
      <w:pPr>
        <w:ind w:left="2880" w:hanging="360"/>
      </w:pPr>
      <w:rPr>
        <w:rFonts w:ascii="Symbol" w:hAnsi="Symbol" w:hint="default"/>
      </w:rPr>
    </w:lvl>
    <w:lvl w:ilvl="4" w:tplc="10090003" w:tentative="1">
      <w:start w:val="1"/>
      <w:numFmt w:val="bullet"/>
      <w:lvlText w:val="o"/>
      <w:lvlJc w:val="left"/>
      <w:pPr>
        <w:ind w:left="3600" w:hanging="360"/>
      </w:pPr>
      <w:rPr>
        <w:rFonts w:ascii="Courier New" w:hAnsi="Courier New" w:cs="Courier New" w:hint="default"/>
      </w:rPr>
    </w:lvl>
    <w:lvl w:ilvl="5" w:tplc="10090005" w:tentative="1">
      <w:start w:val="1"/>
      <w:numFmt w:val="bullet"/>
      <w:lvlText w:val=""/>
      <w:lvlJc w:val="left"/>
      <w:pPr>
        <w:ind w:left="4320" w:hanging="360"/>
      </w:pPr>
      <w:rPr>
        <w:rFonts w:ascii="Wingdings" w:hAnsi="Wingdings" w:hint="default"/>
      </w:rPr>
    </w:lvl>
    <w:lvl w:ilvl="6" w:tplc="10090001" w:tentative="1">
      <w:start w:val="1"/>
      <w:numFmt w:val="bullet"/>
      <w:lvlText w:val=""/>
      <w:lvlJc w:val="left"/>
      <w:pPr>
        <w:ind w:left="5040" w:hanging="360"/>
      </w:pPr>
      <w:rPr>
        <w:rFonts w:ascii="Symbol" w:hAnsi="Symbol" w:hint="default"/>
      </w:rPr>
    </w:lvl>
    <w:lvl w:ilvl="7" w:tplc="10090003" w:tentative="1">
      <w:start w:val="1"/>
      <w:numFmt w:val="bullet"/>
      <w:lvlText w:val="o"/>
      <w:lvlJc w:val="left"/>
      <w:pPr>
        <w:ind w:left="5760" w:hanging="360"/>
      </w:pPr>
      <w:rPr>
        <w:rFonts w:ascii="Courier New" w:hAnsi="Courier New" w:cs="Courier New" w:hint="default"/>
      </w:rPr>
    </w:lvl>
    <w:lvl w:ilvl="8" w:tplc="10090005" w:tentative="1">
      <w:start w:val="1"/>
      <w:numFmt w:val="bullet"/>
      <w:lvlText w:val=""/>
      <w:lvlJc w:val="left"/>
      <w:pPr>
        <w:ind w:left="6480" w:hanging="360"/>
      </w:pPr>
      <w:rPr>
        <w:rFonts w:ascii="Wingdings" w:hAnsi="Wingdings" w:hint="default"/>
      </w:rPr>
    </w:lvl>
  </w:abstractNum>
  <w:num w:numId="1">
    <w:abstractNumId w:val="0"/>
  </w:num>
  <w:num w:numId="2">
    <w:abstractNumId w:val="3"/>
  </w:num>
  <w:num w:numId="3">
    <w:abstractNumId w:val="2"/>
  </w:num>
  <w:num w:numId="4">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1663"/>
    <w:rsid w:val="0000406D"/>
    <w:rsid w:val="00020175"/>
    <w:rsid w:val="00042D66"/>
    <w:rsid w:val="00054BA2"/>
    <w:rsid w:val="00065A3D"/>
    <w:rsid w:val="00082FF0"/>
    <w:rsid w:val="00093969"/>
    <w:rsid w:val="000A2E71"/>
    <w:rsid w:val="000B12FB"/>
    <w:rsid w:val="000B1B48"/>
    <w:rsid w:val="000D55EA"/>
    <w:rsid w:val="000E5BA9"/>
    <w:rsid w:val="000F35CC"/>
    <w:rsid w:val="001006C9"/>
    <w:rsid w:val="00122982"/>
    <w:rsid w:val="00126B19"/>
    <w:rsid w:val="001411BF"/>
    <w:rsid w:val="00141E9F"/>
    <w:rsid w:val="00153074"/>
    <w:rsid w:val="00176B0E"/>
    <w:rsid w:val="001E13E5"/>
    <w:rsid w:val="001E61F9"/>
    <w:rsid w:val="00205E1F"/>
    <w:rsid w:val="00233C79"/>
    <w:rsid w:val="00244E3B"/>
    <w:rsid w:val="00254CAB"/>
    <w:rsid w:val="0026069F"/>
    <w:rsid w:val="00260D46"/>
    <w:rsid w:val="00287AB1"/>
    <w:rsid w:val="00292D04"/>
    <w:rsid w:val="0029330C"/>
    <w:rsid w:val="002A3F3F"/>
    <w:rsid w:val="002C369D"/>
    <w:rsid w:val="002E29E3"/>
    <w:rsid w:val="003071DA"/>
    <w:rsid w:val="00311905"/>
    <w:rsid w:val="0031714A"/>
    <w:rsid w:val="00322804"/>
    <w:rsid w:val="00345DA0"/>
    <w:rsid w:val="00361A53"/>
    <w:rsid w:val="00371912"/>
    <w:rsid w:val="003910CD"/>
    <w:rsid w:val="00394A8E"/>
    <w:rsid w:val="00397BDE"/>
    <w:rsid w:val="003B7ECC"/>
    <w:rsid w:val="003E019E"/>
    <w:rsid w:val="00431388"/>
    <w:rsid w:val="00434AFD"/>
    <w:rsid w:val="0047239D"/>
    <w:rsid w:val="004A6EEB"/>
    <w:rsid w:val="004B39A1"/>
    <w:rsid w:val="004B7A8B"/>
    <w:rsid w:val="004C133F"/>
    <w:rsid w:val="004D373E"/>
    <w:rsid w:val="004F4714"/>
    <w:rsid w:val="004F4A80"/>
    <w:rsid w:val="00511D37"/>
    <w:rsid w:val="00516797"/>
    <w:rsid w:val="005369AA"/>
    <w:rsid w:val="005474B2"/>
    <w:rsid w:val="005622F7"/>
    <w:rsid w:val="005870DB"/>
    <w:rsid w:val="005C5235"/>
    <w:rsid w:val="005D4F24"/>
    <w:rsid w:val="005D7EC4"/>
    <w:rsid w:val="005F66BC"/>
    <w:rsid w:val="00601337"/>
    <w:rsid w:val="00612286"/>
    <w:rsid w:val="00614082"/>
    <w:rsid w:val="0061578B"/>
    <w:rsid w:val="0065135E"/>
    <w:rsid w:val="0067091F"/>
    <w:rsid w:val="006B7818"/>
    <w:rsid w:val="006C3E85"/>
    <w:rsid w:val="006C6CB1"/>
    <w:rsid w:val="006C6EC0"/>
    <w:rsid w:val="006E335F"/>
    <w:rsid w:val="006F0E24"/>
    <w:rsid w:val="00712DA3"/>
    <w:rsid w:val="007328C9"/>
    <w:rsid w:val="00746971"/>
    <w:rsid w:val="00762662"/>
    <w:rsid w:val="00770CB9"/>
    <w:rsid w:val="00771D81"/>
    <w:rsid w:val="00775C93"/>
    <w:rsid w:val="007869FB"/>
    <w:rsid w:val="00795BEB"/>
    <w:rsid w:val="007A3152"/>
    <w:rsid w:val="007A33D9"/>
    <w:rsid w:val="007A59E7"/>
    <w:rsid w:val="007A79BF"/>
    <w:rsid w:val="007B0FCC"/>
    <w:rsid w:val="007B25DC"/>
    <w:rsid w:val="007C217F"/>
    <w:rsid w:val="007F77FF"/>
    <w:rsid w:val="00811EFE"/>
    <w:rsid w:val="00823040"/>
    <w:rsid w:val="00860F60"/>
    <w:rsid w:val="00882EBE"/>
    <w:rsid w:val="008A484A"/>
    <w:rsid w:val="008B0874"/>
    <w:rsid w:val="008C1663"/>
    <w:rsid w:val="008C5C2F"/>
    <w:rsid w:val="008D15AE"/>
    <w:rsid w:val="009219C9"/>
    <w:rsid w:val="00954DD9"/>
    <w:rsid w:val="009644A7"/>
    <w:rsid w:val="00990BAE"/>
    <w:rsid w:val="009A3D56"/>
    <w:rsid w:val="009B494B"/>
    <w:rsid w:val="009D5675"/>
    <w:rsid w:val="009E6EB4"/>
    <w:rsid w:val="009F7987"/>
    <w:rsid w:val="00A002B9"/>
    <w:rsid w:val="00A02FC2"/>
    <w:rsid w:val="00A071FE"/>
    <w:rsid w:val="00A15DE1"/>
    <w:rsid w:val="00A177E7"/>
    <w:rsid w:val="00A32FD9"/>
    <w:rsid w:val="00A6401C"/>
    <w:rsid w:val="00A70E6A"/>
    <w:rsid w:val="00A83D08"/>
    <w:rsid w:val="00A92179"/>
    <w:rsid w:val="00AE2C6D"/>
    <w:rsid w:val="00AE6085"/>
    <w:rsid w:val="00AF4B5F"/>
    <w:rsid w:val="00B039E7"/>
    <w:rsid w:val="00B072ED"/>
    <w:rsid w:val="00B10CC4"/>
    <w:rsid w:val="00B23989"/>
    <w:rsid w:val="00B36AE1"/>
    <w:rsid w:val="00B41759"/>
    <w:rsid w:val="00B43294"/>
    <w:rsid w:val="00B74F28"/>
    <w:rsid w:val="00BA5B72"/>
    <w:rsid w:val="00BB27C4"/>
    <w:rsid w:val="00BB3202"/>
    <w:rsid w:val="00BB3DA1"/>
    <w:rsid w:val="00BF4A5B"/>
    <w:rsid w:val="00BF5E9C"/>
    <w:rsid w:val="00BF6EB3"/>
    <w:rsid w:val="00C0023E"/>
    <w:rsid w:val="00C07B03"/>
    <w:rsid w:val="00C53E17"/>
    <w:rsid w:val="00C57DEB"/>
    <w:rsid w:val="00C74374"/>
    <w:rsid w:val="00C8773E"/>
    <w:rsid w:val="00CC0483"/>
    <w:rsid w:val="00CF61B4"/>
    <w:rsid w:val="00CF6EEF"/>
    <w:rsid w:val="00D13E0B"/>
    <w:rsid w:val="00D14169"/>
    <w:rsid w:val="00D34A33"/>
    <w:rsid w:val="00D54516"/>
    <w:rsid w:val="00D610B7"/>
    <w:rsid w:val="00D61249"/>
    <w:rsid w:val="00D717CC"/>
    <w:rsid w:val="00D914F7"/>
    <w:rsid w:val="00D9740B"/>
    <w:rsid w:val="00DB48C9"/>
    <w:rsid w:val="00DC51A0"/>
    <w:rsid w:val="00DD7B69"/>
    <w:rsid w:val="00DE1499"/>
    <w:rsid w:val="00DE7075"/>
    <w:rsid w:val="00DF3BE3"/>
    <w:rsid w:val="00E1475D"/>
    <w:rsid w:val="00E34FDD"/>
    <w:rsid w:val="00E36641"/>
    <w:rsid w:val="00E5498F"/>
    <w:rsid w:val="00E6347F"/>
    <w:rsid w:val="00EA35C5"/>
    <w:rsid w:val="00EC2717"/>
    <w:rsid w:val="00ED7295"/>
    <w:rsid w:val="00EE5D4B"/>
    <w:rsid w:val="00EE6C51"/>
    <w:rsid w:val="00F06349"/>
    <w:rsid w:val="00F14D2A"/>
    <w:rsid w:val="00F32047"/>
    <w:rsid w:val="00F37189"/>
    <w:rsid w:val="00F63F9D"/>
    <w:rsid w:val="00F64158"/>
    <w:rsid w:val="00F66302"/>
    <w:rsid w:val="00F66DAA"/>
    <w:rsid w:val="00F8242B"/>
    <w:rsid w:val="00F9126A"/>
    <w:rsid w:val="00FA1E90"/>
    <w:rsid w:val="00FD1AD8"/>
    <w:rsid w:val="00FD5CF0"/>
    <w:rsid w:val="00FD634F"/>
    <w:rsid w:val="00FF00ED"/>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26670F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B781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36641"/>
    <w:pPr>
      <w:spacing w:after="200" w:line="276" w:lineRule="auto"/>
      <w:ind w:left="720"/>
      <w:contextualSpacing/>
    </w:pPr>
  </w:style>
  <w:style w:type="table" w:styleId="TableGrid">
    <w:name w:val="Table Grid"/>
    <w:basedOn w:val="TableNormal"/>
    <w:uiPriority w:val="39"/>
    <w:rsid w:val="00882EB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76B0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76B0E"/>
    <w:rPr>
      <w:rFonts w:ascii="Segoe UI" w:hAnsi="Segoe UI" w:cs="Segoe UI"/>
      <w:sz w:val="18"/>
      <w:szCs w:val="18"/>
    </w:rPr>
  </w:style>
  <w:style w:type="paragraph" w:styleId="Header">
    <w:name w:val="header"/>
    <w:basedOn w:val="Normal"/>
    <w:link w:val="HeaderChar"/>
    <w:uiPriority w:val="99"/>
    <w:unhideWhenUsed/>
    <w:rsid w:val="007F77FF"/>
    <w:pPr>
      <w:tabs>
        <w:tab w:val="center" w:pos="4680"/>
        <w:tab w:val="right" w:pos="9360"/>
      </w:tabs>
      <w:spacing w:after="0" w:line="240" w:lineRule="auto"/>
    </w:pPr>
  </w:style>
  <w:style w:type="character" w:customStyle="1" w:styleId="HeaderChar">
    <w:name w:val="Header Char"/>
    <w:basedOn w:val="DefaultParagraphFont"/>
    <w:link w:val="Header"/>
    <w:uiPriority w:val="99"/>
    <w:rsid w:val="007F77FF"/>
  </w:style>
  <w:style w:type="paragraph" w:styleId="Footer">
    <w:name w:val="footer"/>
    <w:basedOn w:val="Normal"/>
    <w:link w:val="FooterChar"/>
    <w:uiPriority w:val="99"/>
    <w:unhideWhenUsed/>
    <w:rsid w:val="007F77FF"/>
    <w:pPr>
      <w:tabs>
        <w:tab w:val="center" w:pos="4680"/>
        <w:tab w:val="right" w:pos="9360"/>
      </w:tabs>
      <w:spacing w:after="0" w:line="240" w:lineRule="auto"/>
    </w:pPr>
  </w:style>
  <w:style w:type="character" w:customStyle="1" w:styleId="FooterChar">
    <w:name w:val="Footer Char"/>
    <w:basedOn w:val="DefaultParagraphFont"/>
    <w:link w:val="Footer"/>
    <w:uiPriority w:val="99"/>
    <w:rsid w:val="007F77FF"/>
  </w:style>
  <w:style w:type="character" w:styleId="Hyperlink">
    <w:name w:val="Hyperlink"/>
    <w:basedOn w:val="DefaultParagraphFont"/>
    <w:uiPriority w:val="99"/>
    <w:unhideWhenUsed/>
    <w:rsid w:val="00FF00ED"/>
    <w:rPr>
      <w:color w:val="0563C1"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B7818"/>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E36641"/>
    <w:pPr>
      <w:spacing w:after="200" w:line="276" w:lineRule="auto"/>
      <w:ind w:left="720"/>
      <w:contextualSpacing/>
    </w:pPr>
  </w:style>
  <w:style w:type="table" w:styleId="TableGrid">
    <w:name w:val="Table Grid"/>
    <w:basedOn w:val="TableNormal"/>
    <w:uiPriority w:val="39"/>
    <w:rsid w:val="00882EBE"/>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BalloonText">
    <w:name w:val="Balloon Text"/>
    <w:basedOn w:val="Normal"/>
    <w:link w:val="BalloonTextChar"/>
    <w:uiPriority w:val="99"/>
    <w:semiHidden/>
    <w:unhideWhenUsed/>
    <w:rsid w:val="00176B0E"/>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176B0E"/>
    <w:rPr>
      <w:rFonts w:ascii="Segoe UI" w:hAnsi="Segoe UI" w:cs="Segoe UI"/>
      <w:sz w:val="18"/>
      <w:szCs w:val="18"/>
    </w:rPr>
  </w:style>
  <w:style w:type="paragraph" w:styleId="Header">
    <w:name w:val="header"/>
    <w:basedOn w:val="Normal"/>
    <w:link w:val="HeaderChar"/>
    <w:uiPriority w:val="99"/>
    <w:unhideWhenUsed/>
    <w:rsid w:val="007F77FF"/>
    <w:pPr>
      <w:tabs>
        <w:tab w:val="center" w:pos="4680"/>
        <w:tab w:val="right" w:pos="9360"/>
      </w:tabs>
      <w:spacing w:after="0" w:line="240" w:lineRule="auto"/>
    </w:pPr>
  </w:style>
  <w:style w:type="character" w:customStyle="1" w:styleId="HeaderChar">
    <w:name w:val="Header Char"/>
    <w:basedOn w:val="DefaultParagraphFont"/>
    <w:link w:val="Header"/>
    <w:uiPriority w:val="99"/>
    <w:rsid w:val="007F77FF"/>
  </w:style>
  <w:style w:type="paragraph" w:styleId="Footer">
    <w:name w:val="footer"/>
    <w:basedOn w:val="Normal"/>
    <w:link w:val="FooterChar"/>
    <w:uiPriority w:val="99"/>
    <w:unhideWhenUsed/>
    <w:rsid w:val="007F77FF"/>
    <w:pPr>
      <w:tabs>
        <w:tab w:val="center" w:pos="4680"/>
        <w:tab w:val="right" w:pos="9360"/>
      </w:tabs>
      <w:spacing w:after="0" w:line="240" w:lineRule="auto"/>
    </w:pPr>
  </w:style>
  <w:style w:type="character" w:customStyle="1" w:styleId="FooterChar">
    <w:name w:val="Footer Char"/>
    <w:basedOn w:val="DefaultParagraphFont"/>
    <w:link w:val="Footer"/>
    <w:uiPriority w:val="99"/>
    <w:rsid w:val="007F77FF"/>
  </w:style>
  <w:style w:type="character" w:styleId="Hyperlink">
    <w:name w:val="Hyperlink"/>
    <w:basedOn w:val="DefaultParagraphFont"/>
    <w:uiPriority w:val="99"/>
    <w:unhideWhenUsed/>
    <w:rsid w:val="00FF00ED"/>
    <w:rPr>
      <w:color w:val="0563C1"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330374555">
      <w:bodyDiv w:val="1"/>
      <w:marLeft w:val="0"/>
      <w:marRight w:val="0"/>
      <w:marTop w:val="0"/>
      <w:marBottom w:val="0"/>
      <w:divBdr>
        <w:top w:val="none" w:sz="0" w:space="0" w:color="auto"/>
        <w:left w:val="none" w:sz="0" w:space="0" w:color="auto"/>
        <w:bottom w:val="none" w:sz="0" w:space="0" w:color="auto"/>
        <w:right w:val="none" w:sz="0" w:space="0" w:color="auto"/>
      </w:divBdr>
    </w:div>
    <w:div w:id="505630990">
      <w:bodyDiv w:val="1"/>
      <w:marLeft w:val="0"/>
      <w:marRight w:val="0"/>
      <w:marTop w:val="0"/>
      <w:marBottom w:val="0"/>
      <w:divBdr>
        <w:top w:val="none" w:sz="0" w:space="0" w:color="auto"/>
        <w:left w:val="none" w:sz="0" w:space="0" w:color="auto"/>
        <w:bottom w:val="none" w:sz="0" w:space="0" w:color="auto"/>
        <w:right w:val="none" w:sz="0" w:space="0" w:color="auto"/>
      </w:divBdr>
    </w:div>
    <w:div w:id="844444510">
      <w:bodyDiv w:val="1"/>
      <w:marLeft w:val="0"/>
      <w:marRight w:val="0"/>
      <w:marTop w:val="0"/>
      <w:marBottom w:val="0"/>
      <w:divBdr>
        <w:top w:val="none" w:sz="0" w:space="0" w:color="auto"/>
        <w:left w:val="none" w:sz="0" w:space="0" w:color="auto"/>
        <w:bottom w:val="none" w:sz="0" w:space="0" w:color="auto"/>
        <w:right w:val="none" w:sz="0" w:space="0" w:color="auto"/>
      </w:divBdr>
    </w:div>
    <w:div w:id="1738628959">
      <w:bodyDiv w:val="1"/>
      <w:marLeft w:val="0"/>
      <w:marRight w:val="0"/>
      <w:marTop w:val="0"/>
      <w:marBottom w:val="0"/>
      <w:divBdr>
        <w:top w:val="none" w:sz="0" w:space="0" w:color="auto"/>
        <w:left w:val="none" w:sz="0" w:space="0" w:color="auto"/>
        <w:bottom w:val="none" w:sz="0" w:space="0" w:color="auto"/>
        <w:right w:val="none" w:sz="0" w:space="0" w:color="auto"/>
      </w:divBdr>
    </w:div>
    <w:div w:id="1792482109">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image" Target="media/image3.png"/><Relationship Id="rId18" Type="http://schemas.openxmlformats.org/officeDocument/2006/relationships/chart" Target="charts/chart4.xml"/><Relationship Id="rId3" Type="http://schemas.openxmlformats.org/officeDocument/2006/relationships/styles" Target="styles.xml"/><Relationship Id="rId21" Type="http://schemas.openxmlformats.org/officeDocument/2006/relationships/fontTable" Target="fontTable.xml"/><Relationship Id="rId7" Type="http://schemas.openxmlformats.org/officeDocument/2006/relationships/footnotes" Target="footnotes.xml"/><Relationship Id="rId12" Type="http://schemas.openxmlformats.org/officeDocument/2006/relationships/image" Target="media/image2.png"/><Relationship Id="rId17" Type="http://schemas.openxmlformats.org/officeDocument/2006/relationships/package" Target="embeddings/Microsoft_Excel_Worksheet4.xlsx"/><Relationship Id="rId2" Type="http://schemas.openxmlformats.org/officeDocument/2006/relationships/numbering" Target="numbering.xml"/><Relationship Id="rId16" Type="http://schemas.openxmlformats.org/officeDocument/2006/relationships/image" Target="media/image5.emf"/><Relationship Id="rId20"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chart" Target="charts/chart2.xml"/><Relationship Id="rId5" Type="http://schemas.openxmlformats.org/officeDocument/2006/relationships/settings" Target="settings.xml"/><Relationship Id="rId15" Type="http://schemas.openxmlformats.org/officeDocument/2006/relationships/image" Target="media/image4.jpeg"/><Relationship Id="rId10" Type="http://schemas.openxmlformats.org/officeDocument/2006/relationships/chart" Target="charts/chart1.xml"/><Relationship Id="rId19" Type="http://schemas.openxmlformats.org/officeDocument/2006/relationships/image" Target="media/image6.jpeg"/><Relationship Id="rId4" Type="http://schemas.microsoft.com/office/2007/relationships/stylesWithEffects" Target="stylesWithEffects.xml"/><Relationship Id="rId9" Type="http://schemas.openxmlformats.org/officeDocument/2006/relationships/image" Target="media/image1.png"/><Relationship Id="rId14" Type="http://schemas.openxmlformats.org/officeDocument/2006/relationships/chart" Target="charts/chart3.xml"/><Relationship Id="rId22" Type="http://schemas.openxmlformats.org/officeDocument/2006/relationships/theme" Target="theme/theme1.xml"/></Relationships>
</file>

<file path=word/charts/_rels/chart1.xml.rels><?xml version="1.0" encoding="UTF-8" standalone="yes"?>
<Relationships xmlns="http://schemas.openxmlformats.org/package/2006/relationships"><Relationship Id="rId1" Type="http://schemas.openxmlformats.org/officeDocument/2006/relationships/package" Target="../embeddings/Microsoft_Excel_Worksheet1.xlsx"/></Relationships>
</file>

<file path=word/charts/_rels/chart2.xml.rels><?xml version="1.0" encoding="UTF-8" standalone="yes"?>
<Relationships xmlns="http://schemas.openxmlformats.org/package/2006/relationships"><Relationship Id="rId1" Type="http://schemas.openxmlformats.org/officeDocument/2006/relationships/package" Target="../embeddings/Microsoft_Excel_Worksheet2.xlsx"/></Relationships>
</file>

<file path=word/charts/_rels/chart3.xml.rels><?xml version="1.0" encoding="UTF-8" standalone="yes"?>
<Relationships xmlns="http://schemas.openxmlformats.org/package/2006/relationships"><Relationship Id="rId1" Type="http://schemas.openxmlformats.org/officeDocument/2006/relationships/package" Target="../embeddings/Microsoft_Excel_Worksheet3.xlsx"/></Relationships>
</file>

<file path=word/charts/_rels/chart4.xml.rels><?xml version="1.0" encoding="UTF-8" standalone="yes"?>
<Relationships xmlns="http://schemas.openxmlformats.org/package/2006/relationships"><Relationship Id="rId1" Type="http://schemas.openxmlformats.org/officeDocument/2006/relationships/package" Target="../embeddings/Microsoft_Excel_Worksheet5.xlsx"/></Relationships>
</file>

<file path=word/charts/chart1.xml><?xml version="1.0" encoding="utf-8"?>
<c:chartSpace xmlns:c="http://schemas.openxmlformats.org/drawingml/2006/chart" xmlns:a="http://schemas.openxmlformats.org/drawingml/2006/main" xmlns:r="http://schemas.openxmlformats.org/officeDocument/2006/relationships">
  <c:date1904 val="0"/>
  <c:lang val="en-CA"/>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600" b="1" i="0" u="none" strike="noStrike" kern="1200" spc="100" baseline="0">
                <a:solidFill>
                  <a:schemeClr val="lt1">
                    <a:lumMod val="95000"/>
                  </a:schemeClr>
                </a:solidFill>
                <a:effectLst>
                  <a:outerShdw blurRad="50800" dist="38100" dir="5400000" algn="t" rotWithShape="0">
                    <a:prstClr val="black">
                      <a:alpha val="40000"/>
                    </a:prstClr>
                  </a:outerShdw>
                </a:effectLst>
                <a:latin typeface="+mn-lt"/>
                <a:ea typeface="+mn-ea"/>
                <a:cs typeface="+mn-cs"/>
              </a:defRPr>
            </a:pPr>
            <a:r>
              <a:rPr lang="en-US"/>
              <a:t>5 Year Incident Trend</a:t>
            </a:r>
          </a:p>
        </c:rich>
      </c:tx>
      <c:overlay val="0"/>
      <c:spPr>
        <a:noFill/>
        <a:ln>
          <a:noFill/>
        </a:ln>
        <a:effectLst/>
      </c:spPr>
    </c:title>
    <c:autoTitleDeleted val="0"/>
    <c:plotArea>
      <c:layout/>
      <c:lineChart>
        <c:grouping val="standard"/>
        <c:varyColors val="0"/>
        <c:ser>
          <c:idx val="0"/>
          <c:order val="0"/>
          <c:tx>
            <c:strRef>
              <c:f>Sheet1!$B$1</c:f>
              <c:strCache>
                <c:ptCount val="1"/>
                <c:pt idx="0">
                  <c:v>Series 1</c:v>
                </c:pt>
              </c:strCache>
            </c:strRef>
          </c:tx>
          <c:spPr>
            <a:ln w="34925" cap="rnd">
              <a:solidFill>
                <a:schemeClr val="accent1"/>
              </a:solidFill>
              <a:round/>
            </a:ln>
            <a:effectLst>
              <a:outerShdw blurRad="57150" dist="19050" dir="5400000" algn="ctr" rotWithShape="0">
                <a:srgbClr val="000000">
                  <a:alpha val="63000"/>
                </a:srgbClr>
              </a:outerShdw>
            </a:effectLst>
          </c:spPr>
          <c:marker>
            <c:symbol val="none"/>
          </c:marker>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lt1">
                        <a:lumMod val="85000"/>
                      </a:schemeClr>
                    </a:solidFill>
                    <a:latin typeface="+mn-lt"/>
                    <a:ea typeface="+mn-ea"/>
                    <a:cs typeface="+mn-cs"/>
                  </a:defRPr>
                </a:pPr>
                <a:endParaRPr lang="en-US"/>
              </a:p>
            </c:txPr>
            <c:dLblPos val="ctr"/>
            <c:showLegendKey val="0"/>
            <c:showVal val="1"/>
            <c:showCatName val="0"/>
            <c:showSerName val="0"/>
            <c:showPercent val="0"/>
            <c:showBubbleSize val="0"/>
            <c:showLeaderLines val="0"/>
            <c:extLst>
              <c:ext xmlns:c15="http://schemas.microsoft.com/office/drawing/2012/chart" uri="{CE6537A1-D6FC-4f65-9D91-7224C49458BB}">
                <c15:showLeaderLines val="1"/>
                <c15:leaderLines>
                  <c:spPr>
                    <a:ln w="9525">
                      <a:solidFill>
                        <a:schemeClr val="lt1">
                          <a:lumMod val="95000"/>
                          <a:alpha val="54000"/>
                        </a:schemeClr>
                      </a:solidFill>
                    </a:ln>
                    <a:effectLst/>
                  </c:spPr>
                </c15:leaderLines>
              </c:ext>
            </c:extLst>
          </c:dLbls>
          <c:cat>
            <c:numRef>
              <c:f>Sheet1!$A$2:$A$6</c:f>
              <c:numCache>
                <c:formatCode>General</c:formatCode>
                <c:ptCount val="5"/>
                <c:pt idx="0">
                  <c:v>2016</c:v>
                </c:pt>
                <c:pt idx="1">
                  <c:v>2015</c:v>
                </c:pt>
                <c:pt idx="2">
                  <c:v>2014</c:v>
                </c:pt>
                <c:pt idx="3">
                  <c:v>2013</c:v>
                </c:pt>
                <c:pt idx="4">
                  <c:v>2012</c:v>
                </c:pt>
              </c:numCache>
            </c:numRef>
          </c:cat>
          <c:val>
            <c:numRef>
              <c:f>Sheet1!$B$2:$B$6</c:f>
              <c:numCache>
                <c:formatCode>General</c:formatCode>
                <c:ptCount val="5"/>
                <c:pt idx="0">
                  <c:v>35</c:v>
                </c:pt>
                <c:pt idx="1">
                  <c:v>45</c:v>
                </c:pt>
                <c:pt idx="2">
                  <c:v>50</c:v>
                </c:pt>
                <c:pt idx="3">
                  <c:v>36</c:v>
                </c:pt>
                <c:pt idx="4">
                  <c:v>41</c:v>
                </c:pt>
              </c:numCache>
            </c:numRef>
          </c:val>
          <c:smooth val="0"/>
        </c:ser>
        <c:dLbls>
          <c:dLblPos val="ctr"/>
          <c:showLegendKey val="0"/>
          <c:showVal val="1"/>
          <c:showCatName val="0"/>
          <c:showSerName val="0"/>
          <c:showPercent val="0"/>
          <c:showBubbleSize val="0"/>
        </c:dLbls>
        <c:marker val="1"/>
        <c:smooth val="0"/>
        <c:axId val="76288384"/>
        <c:axId val="76289536"/>
      </c:lineChart>
      <c:catAx>
        <c:axId val="76288384"/>
        <c:scaling>
          <c:orientation val="minMax"/>
        </c:scaling>
        <c:delete val="0"/>
        <c:axPos val="b"/>
        <c:numFmt formatCode="General" sourceLinked="1"/>
        <c:majorTickMark val="none"/>
        <c:minorTickMark val="none"/>
        <c:tickLblPos val="nextTo"/>
        <c:spPr>
          <a:noFill/>
          <a:ln w="9525" cap="flat" cmpd="sng" algn="ctr">
            <a:solidFill>
              <a:schemeClr val="lt1">
                <a:lumMod val="95000"/>
                <a:alpha val="10000"/>
              </a:schemeClr>
            </a:solidFill>
            <a:round/>
          </a:ln>
          <a:effectLst/>
        </c:spPr>
        <c:txPr>
          <a:bodyPr rot="-60000000" spcFirstLastPara="1" vertOverflow="ellipsis" vert="horz" wrap="square" anchor="ctr" anchorCtr="1"/>
          <a:lstStyle/>
          <a:p>
            <a:pPr>
              <a:defRPr sz="900" b="0" i="0" u="none" strike="noStrike" kern="1200" baseline="0">
                <a:solidFill>
                  <a:schemeClr val="lt1">
                    <a:lumMod val="85000"/>
                  </a:schemeClr>
                </a:solidFill>
                <a:latin typeface="+mn-lt"/>
                <a:ea typeface="+mn-ea"/>
                <a:cs typeface="+mn-cs"/>
              </a:defRPr>
            </a:pPr>
            <a:endParaRPr lang="en-US"/>
          </a:p>
        </c:txPr>
        <c:crossAx val="76289536"/>
        <c:crosses val="autoZero"/>
        <c:auto val="1"/>
        <c:lblAlgn val="ctr"/>
        <c:lblOffset val="100"/>
        <c:noMultiLvlLbl val="0"/>
      </c:catAx>
      <c:valAx>
        <c:axId val="76289536"/>
        <c:scaling>
          <c:orientation val="minMax"/>
        </c:scaling>
        <c:delete val="0"/>
        <c:axPos val="l"/>
        <c:majorGridlines>
          <c:spPr>
            <a:ln w="9525" cap="flat" cmpd="sng" algn="ctr">
              <a:solidFill>
                <a:schemeClr val="lt1">
                  <a:lumMod val="95000"/>
                  <a:alpha val="10000"/>
                </a:schemeClr>
              </a:solidFill>
              <a:round/>
            </a:ln>
            <a:effectLst/>
          </c:spPr>
        </c:majorGridlines>
        <c:numFmt formatCode="General" sourceLinked="1"/>
        <c:majorTickMark val="none"/>
        <c:minorTickMark val="none"/>
        <c:tickLblPos val="nextTo"/>
        <c:spPr>
          <a:noFill/>
          <a:ln>
            <a:noFill/>
          </a:ln>
          <a:effectLst/>
        </c:spPr>
        <c:txPr>
          <a:bodyPr rot="-60000000" spcFirstLastPara="1" vertOverflow="ellipsis" vert="horz" wrap="square" anchor="ctr" anchorCtr="1"/>
          <a:lstStyle/>
          <a:p>
            <a:pPr>
              <a:defRPr sz="900" b="0" i="0" u="none" strike="noStrike" kern="1200" baseline="0">
                <a:solidFill>
                  <a:schemeClr val="lt1">
                    <a:lumMod val="85000"/>
                  </a:schemeClr>
                </a:solidFill>
                <a:latin typeface="+mn-lt"/>
                <a:ea typeface="+mn-ea"/>
                <a:cs typeface="+mn-cs"/>
              </a:defRPr>
            </a:pPr>
            <a:endParaRPr lang="en-US"/>
          </a:p>
        </c:txPr>
        <c:crossAx val="76288384"/>
        <c:crosses val="autoZero"/>
        <c:crossBetween val="between"/>
      </c:valAx>
      <c:spPr>
        <a:noFill/>
        <a:ln>
          <a:noFill/>
        </a:ln>
        <a:effectLst/>
      </c:spPr>
    </c:plotArea>
    <c:plotVisOnly val="1"/>
    <c:dispBlanksAs val="gap"/>
    <c:showDLblsOverMax val="0"/>
  </c:chart>
  <c:spPr>
    <a:gradFill flip="none" rotWithShape="1">
      <a:gsLst>
        <a:gs pos="0">
          <a:schemeClr val="dk1">
            <a:lumMod val="65000"/>
            <a:lumOff val="35000"/>
          </a:schemeClr>
        </a:gs>
        <a:gs pos="100000">
          <a:schemeClr val="dk1">
            <a:lumMod val="85000"/>
            <a:lumOff val="15000"/>
          </a:schemeClr>
        </a:gs>
      </a:gsLst>
      <a:path path="circle">
        <a:fillToRect l="50000" t="50000" r="50000" b="50000"/>
      </a:path>
      <a:tileRect/>
    </a:gradFill>
    <a:ln>
      <a:noFill/>
    </a:ln>
    <a:effectLst/>
  </c:spPr>
  <c:txPr>
    <a:bodyPr/>
    <a:lstStyle/>
    <a:p>
      <a:pPr>
        <a:defRPr/>
      </a:pPr>
      <a:endParaRPr lang="en-US"/>
    </a:p>
  </c:txPr>
  <c:externalData r:id="rId1">
    <c:autoUpdate val="0"/>
  </c:externalData>
</c:chartSpace>
</file>

<file path=word/charts/chart2.xml><?xml version="1.0" encoding="utf-8"?>
<c:chartSpace xmlns:c="http://schemas.openxmlformats.org/drawingml/2006/chart" xmlns:a="http://schemas.openxmlformats.org/drawingml/2006/main" xmlns:r="http://schemas.openxmlformats.org/officeDocument/2006/relationships">
  <c:date1904 val="0"/>
  <c:lang val="en-CA"/>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cap="all" spc="150" baseline="0">
                <a:solidFill>
                  <a:schemeClr val="tx1">
                    <a:lumMod val="50000"/>
                    <a:lumOff val="50000"/>
                  </a:schemeClr>
                </a:solidFill>
                <a:latin typeface="+mn-lt"/>
                <a:ea typeface="+mn-ea"/>
                <a:cs typeface="+mn-cs"/>
              </a:defRPr>
            </a:pPr>
            <a:r>
              <a:rPr lang="en-US"/>
              <a:t>March Response Chart</a:t>
            </a:r>
          </a:p>
        </c:rich>
      </c:tx>
      <c:overlay val="0"/>
      <c:spPr>
        <a:noFill/>
        <a:ln>
          <a:noFill/>
        </a:ln>
        <a:effectLst/>
      </c:spPr>
    </c:title>
    <c:autoTitleDeleted val="0"/>
    <c:plotArea>
      <c:layout/>
      <c:pieChart>
        <c:varyColors val="1"/>
        <c:ser>
          <c:idx val="0"/>
          <c:order val="0"/>
          <c:tx>
            <c:strRef>
              <c:f>Sheet1!$B$1</c:f>
              <c:strCache>
                <c:ptCount val="1"/>
                <c:pt idx="0">
                  <c:v>March 2016 Response Chart</c:v>
                </c:pt>
              </c:strCache>
            </c:strRef>
          </c:tx>
          <c:dPt>
            <c:idx val="0"/>
            <c:bubble3D val="0"/>
            <c:spPr>
              <a:pattFill prst="ltUpDiag">
                <a:fgClr>
                  <a:schemeClr val="accent1"/>
                </a:fgClr>
                <a:bgClr>
                  <a:schemeClr val="accent1">
                    <a:lumMod val="20000"/>
                    <a:lumOff val="80000"/>
                  </a:schemeClr>
                </a:bgClr>
              </a:pattFill>
              <a:ln w="19050">
                <a:solidFill>
                  <a:schemeClr val="lt1"/>
                </a:solidFill>
              </a:ln>
              <a:effectLst>
                <a:innerShdw blurRad="114300">
                  <a:schemeClr val="accent1"/>
                </a:innerShdw>
              </a:effectLst>
            </c:spPr>
          </c:dPt>
          <c:dPt>
            <c:idx val="1"/>
            <c:bubble3D val="0"/>
            <c:spPr>
              <a:pattFill prst="ltUpDiag">
                <a:fgClr>
                  <a:schemeClr val="accent2"/>
                </a:fgClr>
                <a:bgClr>
                  <a:schemeClr val="accent2">
                    <a:lumMod val="20000"/>
                    <a:lumOff val="80000"/>
                  </a:schemeClr>
                </a:bgClr>
              </a:pattFill>
              <a:ln w="19050">
                <a:solidFill>
                  <a:schemeClr val="lt1"/>
                </a:solidFill>
              </a:ln>
              <a:effectLst>
                <a:innerShdw blurRad="114300">
                  <a:schemeClr val="accent2"/>
                </a:innerShdw>
              </a:effectLst>
            </c:spPr>
          </c:dPt>
          <c:dPt>
            <c:idx val="2"/>
            <c:bubble3D val="0"/>
            <c:spPr>
              <a:pattFill prst="ltUpDiag">
                <a:fgClr>
                  <a:schemeClr val="accent3"/>
                </a:fgClr>
                <a:bgClr>
                  <a:schemeClr val="accent3">
                    <a:lumMod val="20000"/>
                    <a:lumOff val="80000"/>
                  </a:schemeClr>
                </a:bgClr>
              </a:pattFill>
              <a:ln w="19050">
                <a:solidFill>
                  <a:schemeClr val="lt1"/>
                </a:solidFill>
              </a:ln>
              <a:effectLst>
                <a:innerShdw blurRad="114300">
                  <a:schemeClr val="accent3"/>
                </a:innerShdw>
              </a:effectLst>
            </c:spPr>
          </c:dPt>
          <c:dPt>
            <c:idx val="3"/>
            <c:bubble3D val="0"/>
            <c:spPr>
              <a:pattFill prst="ltUpDiag">
                <a:fgClr>
                  <a:schemeClr val="accent4"/>
                </a:fgClr>
                <a:bgClr>
                  <a:schemeClr val="accent4">
                    <a:lumMod val="20000"/>
                    <a:lumOff val="80000"/>
                  </a:schemeClr>
                </a:bgClr>
              </a:pattFill>
              <a:ln w="19050">
                <a:solidFill>
                  <a:schemeClr val="lt1"/>
                </a:solidFill>
              </a:ln>
              <a:effectLst>
                <a:innerShdw blurRad="114300">
                  <a:schemeClr val="accent4"/>
                </a:innerShdw>
              </a:effectLst>
            </c:spPr>
          </c:dPt>
          <c:dLbls>
            <c:dLbl>
              <c:idx val="0"/>
              <c:layout>
                <c:manualLayout>
                  <c:x val="7.6433121019108305E-2"/>
                  <c:y val="7.8125E-2"/>
                </c:manualLayout>
              </c:layout>
              <c:dLblPos val="bestFit"/>
              <c:showLegendKey val="0"/>
              <c:showVal val="1"/>
              <c:showCatName val="1"/>
              <c:showSerName val="0"/>
              <c:showPercent val="1"/>
              <c:showBubbleSize val="0"/>
              <c:extLst>
                <c:ext xmlns:c15="http://schemas.microsoft.com/office/drawing/2012/chart" uri="{CE6537A1-D6FC-4f65-9D91-7224C49458BB}"/>
              </c:extLst>
            </c:dLbl>
            <c:dLbl>
              <c:idx val="1"/>
              <c:layout>
                <c:manualLayout>
                  <c:x val="6.6770139309509396E-2"/>
                  <c:y val="-4.67726855244011E-2"/>
                </c:manualLayout>
              </c:layout>
              <c:dLblPos val="bestFit"/>
              <c:showLegendKey val="0"/>
              <c:showVal val="1"/>
              <c:showCatName val="1"/>
              <c:showSerName val="0"/>
              <c:showPercent val="1"/>
              <c:showBubbleSize val="0"/>
              <c:extLst>
                <c:ext xmlns:c15="http://schemas.microsoft.com/office/drawing/2012/chart" uri="{CE6537A1-D6FC-4f65-9D91-7224C49458BB}"/>
              </c:extLst>
            </c:dLbl>
            <c:dLbl>
              <c:idx val="2"/>
              <c:layout>
                <c:manualLayout>
                  <c:x val="-8.2802547770700605E-2"/>
                  <c:y val="4.6874999999999903E-2"/>
                </c:manualLayout>
              </c:layout>
              <c:dLblPos val="bestFit"/>
              <c:showLegendKey val="0"/>
              <c:showVal val="1"/>
              <c:showCatName val="1"/>
              <c:showSerName val="0"/>
              <c:showPercent val="1"/>
              <c:showBubbleSize val="0"/>
              <c:extLst>
                <c:ext xmlns:c15="http://schemas.microsoft.com/office/drawing/2012/chart" uri="{CE6537A1-D6FC-4f65-9D91-7224C49458BB}"/>
              </c:extLst>
            </c:dLbl>
            <c:dLbl>
              <c:idx val="3"/>
              <c:layout>
                <c:manualLayout>
                  <c:x val="-0.138004246284501"/>
                  <c:y val="3.6458333333333301E-2"/>
                </c:manualLayout>
              </c:layout>
              <c:dLblPos val="bestFit"/>
              <c:showLegendKey val="0"/>
              <c:showVal val="1"/>
              <c:showCatName val="1"/>
              <c:showSerName val="0"/>
              <c:showPercent val="1"/>
              <c:showBubbleSize val="0"/>
              <c:extLst>
                <c:ext xmlns:c15="http://schemas.microsoft.com/office/drawing/2012/chart" uri="{CE6537A1-D6FC-4f65-9D91-7224C49458BB}"/>
              </c:extLst>
            </c:dLbl>
            <c:spPr>
              <a:solidFill>
                <a:sysClr val="window" lastClr="FFFFFF"/>
              </a:solidFill>
              <a:ln>
                <a:solidFill>
                  <a:sysClr val="windowText" lastClr="000000">
                    <a:lumMod val="25000"/>
                    <a:lumOff val="75000"/>
                  </a:sysClr>
                </a:solidFill>
              </a:ln>
              <a:effectLst/>
            </c:spPr>
            <c:txPr>
              <a:bodyPr rot="0" spcFirstLastPara="1" vertOverflow="clip" horzOverflow="clip" vert="horz" wrap="square" lIns="38100" tIns="19050" rIns="38100" bIns="19050" anchor="ctr" anchorCtr="1">
                <a:spAutoFit/>
              </a:bodyPr>
              <a:lstStyle/>
              <a:p>
                <a:pPr>
                  <a:defRPr sz="900" b="0" i="0" u="none" strike="noStrike" kern="1200" baseline="0">
                    <a:solidFill>
                      <a:schemeClr val="dk1">
                        <a:lumMod val="65000"/>
                        <a:lumOff val="35000"/>
                      </a:schemeClr>
                    </a:solidFill>
                    <a:latin typeface="+mn-lt"/>
                    <a:ea typeface="+mn-ea"/>
                    <a:cs typeface="+mn-cs"/>
                  </a:defRPr>
                </a:pPr>
                <a:endParaRPr lang="en-US"/>
              </a:p>
            </c:txPr>
            <c:dLblPos val="outEnd"/>
            <c:showLegendKey val="0"/>
            <c:showVal val="1"/>
            <c:showCatName val="1"/>
            <c:showSerName val="0"/>
            <c:showPercent val="1"/>
            <c:showBubbleSize val="0"/>
            <c:showLeaderLines val="0"/>
            <c:extLst>
              <c:ext xmlns:c15="http://schemas.microsoft.com/office/drawing/2012/chart" uri="{CE6537A1-D6FC-4f65-9D91-7224C49458BB}">
                <c15:spPr xmlns:c15="http://schemas.microsoft.com/office/drawing/2012/chart">
                  <a:prstGeom prst="wedgeRectCallout">
                    <a:avLst/>
                  </a:prstGeom>
                  <a:noFill/>
                  <a:ln>
                    <a:noFill/>
                  </a:ln>
                </c15:spPr>
              </c:ext>
            </c:extLst>
          </c:dLbls>
          <c:cat>
            <c:strRef>
              <c:f>Sheet1!$A$2:$A$5</c:f>
              <c:strCache>
                <c:ptCount val="4"/>
                <c:pt idx="0">
                  <c:v>Fire / Rescue Response</c:v>
                </c:pt>
                <c:pt idx="1">
                  <c:v>First Responder Medical</c:v>
                </c:pt>
                <c:pt idx="2">
                  <c:v>Motor Vehicle Incident (MVI)</c:v>
                </c:pt>
                <c:pt idx="3">
                  <c:v>Misc Respones (Complaints)</c:v>
                </c:pt>
              </c:strCache>
            </c:strRef>
          </c:cat>
          <c:val>
            <c:numRef>
              <c:f>Sheet1!$B$2:$B$5</c:f>
              <c:numCache>
                <c:formatCode>General</c:formatCode>
                <c:ptCount val="4"/>
                <c:pt idx="0">
                  <c:v>9</c:v>
                </c:pt>
                <c:pt idx="1">
                  <c:v>12</c:v>
                </c:pt>
                <c:pt idx="2">
                  <c:v>3</c:v>
                </c:pt>
                <c:pt idx="3">
                  <c:v>11</c:v>
                </c:pt>
              </c:numCache>
            </c:numRef>
          </c:val>
        </c:ser>
        <c:dLbls>
          <c:showLegendKey val="0"/>
          <c:showVal val="0"/>
          <c:showCatName val="0"/>
          <c:showSerName val="0"/>
          <c:showPercent val="0"/>
          <c:showBubbleSize val="0"/>
          <c:showLeaderLines val="0"/>
        </c:dLbls>
        <c:firstSliceAng val="0"/>
      </c:pieChart>
      <c:spPr>
        <a:noFill/>
        <a:ln>
          <a:noFill/>
        </a:ln>
        <a:effectLst/>
      </c:spPr>
    </c:plotArea>
    <c:plotVisOnly val="1"/>
    <c:dispBlanksAs val="gap"/>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en-US"/>
    </a:p>
  </c:txPr>
  <c:externalData r:id="rId1">
    <c:autoUpdate val="0"/>
  </c:externalData>
</c:chartSpace>
</file>

<file path=word/charts/chart3.xml><?xml version="1.0" encoding="utf-8"?>
<c:chartSpace xmlns:c="http://schemas.openxmlformats.org/drawingml/2006/chart" xmlns:a="http://schemas.openxmlformats.org/drawingml/2006/main" xmlns:r="http://schemas.openxmlformats.org/officeDocument/2006/relationships">
  <c:date1904 val="0"/>
  <c:lang val="en-CA"/>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65000"/>
                    <a:lumOff val="35000"/>
                  </a:schemeClr>
                </a:solidFill>
                <a:latin typeface="+mn-lt"/>
                <a:ea typeface="+mn-ea"/>
                <a:cs typeface="+mn-cs"/>
              </a:defRPr>
            </a:pPr>
            <a:r>
              <a:rPr lang="en-US"/>
              <a:t>Membership YTD</a:t>
            </a:r>
          </a:p>
        </c:rich>
      </c:tx>
      <c:overlay val="0"/>
      <c:spPr>
        <a:noFill/>
        <a:ln>
          <a:noFill/>
        </a:ln>
        <a:effectLst/>
      </c:spPr>
    </c:title>
    <c:autoTitleDeleted val="0"/>
    <c:plotArea>
      <c:layout/>
      <c:pieChart>
        <c:varyColors val="1"/>
        <c:ser>
          <c:idx val="0"/>
          <c:order val="0"/>
          <c:tx>
            <c:strRef>
              <c:f>Sheet1!$B$1</c:f>
              <c:strCache>
                <c:ptCount val="1"/>
                <c:pt idx="0">
                  <c:v>Sales</c:v>
                </c:pt>
              </c:strCache>
            </c:strRef>
          </c:tx>
          <c:dPt>
            <c:idx val="0"/>
            <c:bubble3D val="0"/>
            <c:spPr>
              <a:solidFill>
                <a:schemeClr val="accent1"/>
              </a:solidFill>
              <a:ln>
                <a:noFill/>
              </a:ln>
              <a:effectLst>
                <a:outerShdw blurRad="317500" algn="ctr" rotWithShape="0">
                  <a:prstClr val="black">
                    <a:alpha val="25000"/>
                  </a:prstClr>
                </a:outerShdw>
              </a:effectLst>
            </c:spPr>
          </c:dPt>
          <c:dPt>
            <c:idx val="1"/>
            <c:bubble3D val="0"/>
            <c:spPr>
              <a:solidFill>
                <a:schemeClr val="accent2"/>
              </a:solidFill>
              <a:ln>
                <a:noFill/>
              </a:ln>
              <a:effectLst>
                <a:outerShdw blurRad="317500" algn="ctr" rotWithShape="0">
                  <a:prstClr val="black">
                    <a:alpha val="25000"/>
                  </a:prstClr>
                </a:outerShdw>
              </a:effectLst>
            </c:spPr>
          </c:dPt>
          <c:dPt>
            <c:idx val="2"/>
            <c:bubble3D val="0"/>
            <c:spPr>
              <a:solidFill>
                <a:schemeClr val="accent3"/>
              </a:solidFill>
              <a:ln>
                <a:noFill/>
              </a:ln>
              <a:effectLst>
                <a:outerShdw blurRad="317500" algn="ctr" rotWithShape="0">
                  <a:prstClr val="black">
                    <a:alpha val="25000"/>
                  </a:prstClr>
                </a:outerShdw>
              </a:effectLst>
            </c:spPr>
          </c:dPt>
          <c:dPt>
            <c:idx val="3"/>
            <c:bubble3D val="0"/>
            <c:spPr>
              <a:solidFill>
                <a:schemeClr val="accent4"/>
              </a:solidFill>
              <a:ln>
                <a:noFill/>
              </a:ln>
              <a:effectLst>
                <a:outerShdw blurRad="317500" algn="ctr" rotWithShape="0">
                  <a:prstClr val="black">
                    <a:alpha val="25000"/>
                  </a:prstClr>
                </a:outerShdw>
              </a:effectLst>
            </c:spPr>
          </c:dPt>
          <c:dPt>
            <c:idx val="4"/>
            <c:bubble3D val="0"/>
            <c:spPr>
              <a:solidFill>
                <a:schemeClr val="accent5"/>
              </a:solidFill>
              <a:ln>
                <a:noFill/>
              </a:ln>
              <a:effectLst>
                <a:outerShdw blurRad="317500" algn="ctr" rotWithShape="0">
                  <a:prstClr val="black">
                    <a:alpha val="25000"/>
                  </a:prstClr>
                </a:outerShdw>
              </a:effectLst>
            </c:spPr>
          </c:dPt>
          <c:dLbls>
            <c:spPr>
              <a:noFill/>
              <a:ln>
                <a:noFill/>
              </a:ln>
              <a:effectLst/>
            </c:spPr>
            <c:txPr>
              <a:bodyPr rot="0" spcFirstLastPara="1" vertOverflow="ellipsis" vert="horz" wrap="square" lIns="38100" tIns="19050" rIns="38100" bIns="19050" anchor="ctr" anchorCtr="1">
                <a:spAutoFit/>
              </a:bodyPr>
              <a:lstStyle/>
              <a:p>
                <a:pPr>
                  <a:defRPr sz="900" b="1" i="0" u="none" strike="noStrike" kern="1200" baseline="0">
                    <a:solidFill>
                      <a:schemeClr val="lt1"/>
                    </a:solidFill>
                    <a:latin typeface="+mn-lt"/>
                    <a:ea typeface="+mn-ea"/>
                    <a:cs typeface="+mn-cs"/>
                  </a:defRPr>
                </a:pPr>
                <a:endParaRPr lang="en-US"/>
              </a:p>
            </c:txPr>
            <c:dLblPos val="bestFit"/>
            <c:showLegendKey val="0"/>
            <c:showVal val="1"/>
            <c:showCatName val="0"/>
            <c:showSerName val="0"/>
            <c:showPercent val="0"/>
            <c:showBubbleSize val="0"/>
            <c:showLeaderLines val="1"/>
            <c:leaderLines>
              <c:spPr>
                <a:ln w="9525" cap="flat" cmpd="sng" algn="ctr">
                  <a:solidFill>
                    <a:schemeClr val="dk1">
                      <a:lumMod val="35000"/>
                      <a:lumOff val="65000"/>
                    </a:schemeClr>
                  </a:solidFill>
                  <a:round/>
                </a:ln>
                <a:effectLst/>
              </c:spPr>
            </c:leaderLines>
            <c:extLst>
              <c:ext xmlns:c15="http://schemas.microsoft.com/office/drawing/2012/chart" uri="{CE6537A1-D6FC-4f65-9D91-7224C49458BB}"/>
            </c:extLst>
          </c:dLbls>
          <c:cat>
            <c:strRef>
              <c:f>Sheet1!$A$2:$A$6</c:f>
              <c:strCache>
                <c:ptCount val="5"/>
                <c:pt idx="0">
                  <c:v>Career Staff</c:v>
                </c:pt>
                <c:pt idx="1">
                  <c:v>POC Officers</c:v>
                </c:pt>
                <c:pt idx="2">
                  <c:v>POC Firefighters</c:v>
                </c:pt>
                <c:pt idx="3">
                  <c:v>FIT</c:v>
                </c:pt>
                <c:pt idx="4">
                  <c:v>Recruits 2016</c:v>
                </c:pt>
              </c:strCache>
            </c:strRef>
          </c:cat>
          <c:val>
            <c:numRef>
              <c:f>Sheet1!$B$2:$B$6</c:f>
              <c:numCache>
                <c:formatCode>General</c:formatCode>
                <c:ptCount val="5"/>
                <c:pt idx="0">
                  <c:v>8</c:v>
                </c:pt>
                <c:pt idx="1">
                  <c:v>6</c:v>
                </c:pt>
                <c:pt idx="2">
                  <c:v>20</c:v>
                </c:pt>
                <c:pt idx="3">
                  <c:v>3</c:v>
                </c:pt>
                <c:pt idx="4">
                  <c:v>4</c:v>
                </c:pt>
              </c:numCache>
            </c:numRef>
          </c:val>
        </c:ser>
        <c:dLbls>
          <c:dLblPos val="bestFit"/>
          <c:showLegendKey val="0"/>
          <c:showVal val="1"/>
          <c:showCatName val="0"/>
          <c:showSerName val="0"/>
          <c:showPercent val="0"/>
          <c:showBubbleSize val="0"/>
          <c:showLeaderLines val="1"/>
        </c:dLbls>
        <c:firstSliceAng val="0"/>
      </c:pieChart>
      <c:spPr>
        <a:noFill/>
        <a:ln>
          <a:noFill/>
        </a:ln>
        <a:effectLst/>
      </c:spPr>
    </c:plotArea>
    <c:legend>
      <c:legendPos val="b"/>
      <c:overlay val="0"/>
      <c:spPr>
        <a:solidFill>
          <a:schemeClr val="lt1">
            <a:alpha val="78000"/>
          </a:schemeClr>
        </a:solidFill>
        <a:ln>
          <a:noFill/>
        </a:ln>
        <a:effectLst/>
      </c:spPr>
      <c:txPr>
        <a:bodyPr rot="0" spcFirstLastPara="1" vertOverflow="ellipsis" vert="horz" wrap="square" anchor="ctr" anchorCtr="1"/>
        <a:lstStyle/>
        <a:p>
          <a:pPr>
            <a:defRPr sz="900" b="0" i="0" u="none" strike="noStrike" kern="1200" baseline="0">
              <a:solidFill>
                <a:schemeClr val="dk1">
                  <a:lumMod val="65000"/>
                  <a:lumOff val="35000"/>
                </a:schemeClr>
              </a:solidFill>
              <a:latin typeface="+mn-lt"/>
              <a:ea typeface="+mn-ea"/>
              <a:cs typeface="+mn-cs"/>
            </a:defRPr>
          </a:pPr>
          <a:endParaRPr lang="en-US"/>
        </a:p>
      </c:txPr>
    </c:legend>
    <c:plotVisOnly val="1"/>
    <c:dispBlanksAs val="gap"/>
    <c:showDLblsOverMax val="0"/>
  </c:chart>
  <c:spPr>
    <a:pattFill prst="dkDnDiag">
      <a:fgClr>
        <a:schemeClr val="lt1">
          <a:lumMod val="95000"/>
        </a:schemeClr>
      </a:fgClr>
      <a:bgClr>
        <a:schemeClr val="lt1"/>
      </a:bgClr>
    </a:pattFill>
    <a:ln w="9525" cap="flat" cmpd="sng" algn="ctr">
      <a:solidFill>
        <a:schemeClr val="dk1">
          <a:lumMod val="15000"/>
          <a:lumOff val="85000"/>
        </a:schemeClr>
      </a:solidFill>
      <a:round/>
    </a:ln>
    <a:effectLst/>
  </c:spPr>
  <c:txPr>
    <a:bodyPr/>
    <a:lstStyle/>
    <a:p>
      <a:pPr>
        <a:defRPr/>
      </a:pPr>
      <a:endParaRPr lang="en-US"/>
    </a:p>
  </c:txPr>
  <c:externalData r:id="rId1">
    <c:autoUpdate val="0"/>
  </c:externalData>
</c:chartSpace>
</file>

<file path=word/charts/chart4.xml><?xml version="1.0" encoding="utf-8"?>
<c:chartSpace xmlns:c="http://schemas.openxmlformats.org/drawingml/2006/chart" xmlns:a="http://schemas.openxmlformats.org/drawingml/2006/main" xmlns:r="http://schemas.openxmlformats.org/officeDocument/2006/relationships">
  <c:date1904 val="0"/>
  <c:lang val="en-CA"/>
  <c:roundedCorners val="0"/>
  <mc:AlternateContent xmlns:mc="http://schemas.openxmlformats.org/markup-compatibility/2006">
    <mc:Choice xmlns:c14="http://schemas.microsoft.com/office/drawing/2007/8/2/chart" Requires="c14">
      <c14:style val="102"/>
    </mc:Choice>
    <mc:Fallback>
      <c:style val="2"/>
    </mc:Fallback>
  </mc:AlternateContent>
  <c:chart>
    <c:title>
      <c:tx>
        <c:rich>
          <a:bodyPr rot="0" spcFirstLastPara="1" vertOverflow="ellipsis" vert="horz" wrap="square" anchor="ctr" anchorCtr="1"/>
          <a:lstStyle/>
          <a:p>
            <a:pPr>
              <a:defRPr sz="1800" b="1" i="0" u="none" strike="noStrike" kern="1200" baseline="0">
                <a:solidFill>
                  <a:schemeClr val="dk1">
                    <a:lumMod val="75000"/>
                    <a:lumOff val="25000"/>
                  </a:schemeClr>
                </a:solidFill>
                <a:latin typeface="+mn-lt"/>
                <a:ea typeface="+mn-ea"/>
                <a:cs typeface="+mn-cs"/>
              </a:defRPr>
            </a:pPr>
            <a:r>
              <a:rPr lang="en-US"/>
              <a:t>BC Fire Department Playbook Research</a:t>
            </a:r>
          </a:p>
        </c:rich>
      </c:tx>
      <c:overlay val="0"/>
      <c:spPr>
        <a:noFill/>
        <a:ln>
          <a:noFill/>
        </a:ln>
        <a:effectLst/>
      </c:spPr>
    </c:title>
    <c:autoTitleDeleted val="0"/>
    <c:plotArea>
      <c:layout/>
      <c:pieChart>
        <c:varyColors val="1"/>
        <c:ser>
          <c:idx val="0"/>
          <c:order val="0"/>
          <c:tx>
            <c:strRef>
              <c:f>Sheet1!$B$1</c:f>
              <c:strCache>
                <c:ptCount val="1"/>
                <c:pt idx="0">
                  <c:v>Sales</c:v>
                </c:pt>
              </c:strCache>
            </c:strRef>
          </c:tx>
          <c:dPt>
            <c:idx val="0"/>
            <c:bubble3D val="0"/>
            <c:spPr>
              <a:solidFill>
                <a:schemeClr val="accent1"/>
              </a:solidFill>
              <a:ln>
                <a:noFill/>
              </a:ln>
              <a:effectLst>
                <a:outerShdw blurRad="254000" sx="102000" sy="102000" algn="ctr" rotWithShape="0">
                  <a:prstClr val="black">
                    <a:alpha val="20000"/>
                  </a:prstClr>
                </a:outerShdw>
              </a:effectLst>
            </c:spPr>
          </c:dPt>
          <c:dPt>
            <c:idx val="1"/>
            <c:bubble3D val="0"/>
            <c:spPr>
              <a:solidFill>
                <a:schemeClr val="accent2"/>
              </a:solidFill>
              <a:ln>
                <a:noFill/>
              </a:ln>
              <a:effectLst>
                <a:outerShdw blurRad="254000" sx="102000" sy="102000" algn="ctr" rotWithShape="0">
                  <a:prstClr val="black">
                    <a:alpha val="20000"/>
                  </a:prstClr>
                </a:outerShdw>
              </a:effectLst>
            </c:spPr>
          </c:dPt>
          <c:dPt>
            <c:idx val="2"/>
            <c:bubble3D val="0"/>
            <c:spPr>
              <a:solidFill>
                <a:schemeClr val="accent3"/>
              </a:solidFill>
              <a:ln>
                <a:noFill/>
              </a:ln>
              <a:effectLst>
                <a:outerShdw blurRad="254000" sx="102000" sy="102000" algn="ctr" rotWithShape="0">
                  <a:prstClr val="black">
                    <a:alpha val="20000"/>
                  </a:prstClr>
                </a:outerShdw>
              </a:effectLst>
            </c:spPr>
          </c:dPt>
          <c:dLbls>
            <c:spPr>
              <a:pattFill prst="pct75">
                <a:fgClr>
                  <a:sysClr val="windowText" lastClr="000000">
                    <a:lumMod val="75000"/>
                    <a:lumOff val="25000"/>
                  </a:sysClr>
                </a:fgClr>
                <a:bgClr>
                  <a:sysClr val="windowText" lastClr="000000">
                    <a:lumMod val="65000"/>
                    <a:lumOff val="35000"/>
                  </a:sysClr>
                </a:bgClr>
              </a:pattFill>
              <a:ln>
                <a:noFill/>
              </a:ln>
              <a:effectLst>
                <a:outerShdw blurRad="50800" dist="38100" dir="2700000" algn="tl" rotWithShape="0">
                  <a:prstClr val="black">
                    <a:alpha val="40000"/>
                  </a:prstClr>
                </a:outerShdw>
              </a:effectLst>
            </c:spPr>
            <c:txPr>
              <a:bodyPr rot="0" spcFirstLastPara="1" vertOverflow="ellipsis" vert="horz" wrap="square" lIns="38100" tIns="19050" rIns="38100" bIns="19050" anchor="ctr" anchorCtr="1">
                <a:spAutoFit/>
              </a:bodyPr>
              <a:lstStyle/>
              <a:p>
                <a:pPr>
                  <a:defRPr sz="1000" b="1" i="0" u="none" strike="noStrike" kern="1200" baseline="0">
                    <a:solidFill>
                      <a:schemeClr val="lt1"/>
                    </a:solidFill>
                    <a:latin typeface="+mn-lt"/>
                    <a:ea typeface="+mn-ea"/>
                    <a:cs typeface="+mn-cs"/>
                  </a:defRPr>
                </a:pPr>
                <a:endParaRPr lang="en-US"/>
              </a:p>
            </c:txPr>
            <c:dLblPos val="ctr"/>
            <c:showLegendKey val="0"/>
            <c:showVal val="0"/>
            <c:showCatName val="0"/>
            <c:showSerName val="0"/>
            <c:showPercent val="1"/>
            <c:showBubbleSize val="0"/>
            <c:showLeaderLines val="1"/>
            <c:leaderLines>
              <c:spPr>
                <a:ln w="9525">
                  <a:solidFill>
                    <a:schemeClr val="dk1">
                      <a:lumMod val="50000"/>
                      <a:lumOff val="50000"/>
                    </a:schemeClr>
                  </a:solidFill>
                </a:ln>
                <a:effectLst/>
              </c:spPr>
            </c:leaderLines>
            <c:extLst>
              <c:ext xmlns:c15="http://schemas.microsoft.com/office/drawing/2012/chart" uri="{CE6537A1-D6FC-4f65-9D91-7224C49458BB}"/>
            </c:extLst>
          </c:dLbls>
          <c:cat>
            <c:strRef>
              <c:f>Sheet1!$A$2:$A$4</c:f>
              <c:strCache>
                <c:ptCount val="3"/>
                <c:pt idx="0">
                  <c:v>Exterior</c:v>
                </c:pt>
                <c:pt idx="1">
                  <c:v>Interior</c:v>
                </c:pt>
                <c:pt idx="2">
                  <c:v>Full Service</c:v>
                </c:pt>
              </c:strCache>
            </c:strRef>
          </c:cat>
          <c:val>
            <c:numRef>
              <c:f>Sheet1!$B$2:$B$4</c:f>
              <c:numCache>
                <c:formatCode>General</c:formatCode>
                <c:ptCount val="3"/>
                <c:pt idx="0">
                  <c:v>8</c:v>
                </c:pt>
                <c:pt idx="1">
                  <c:v>17</c:v>
                </c:pt>
                <c:pt idx="2">
                  <c:v>19</c:v>
                </c:pt>
              </c:numCache>
            </c:numRef>
          </c:val>
        </c:ser>
        <c:dLbls>
          <c:dLblPos val="ctr"/>
          <c:showLegendKey val="0"/>
          <c:showVal val="0"/>
          <c:showCatName val="0"/>
          <c:showSerName val="0"/>
          <c:showPercent val="1"/>
          <c:showBubbleSize val="0"/>
          <c:showLeaderLines val="1"/>
        </c:dLbls>
        <c:firstSliceAng val="0"/>
      </c:pieChart>
      <c:spPr>
        <a:noFill/>
        <a:ln>
          <a:noFill/>
        </a:ln>
        <a:effectLst/>
      </c:spPr>
    </c:plotArea>
    <c:legend>
      <c:legendPos val="r"/>
      <c:overlay val="0"/>
      <c:spPr>
        <a:solidFill>
          <a:schemeClr val="lt1">
            <a:lumMod val="95000"/>
            <a:alpha val="39000"/>
          </a:schemeClr>
        </a:solidFill>
        <a:ln>
          <a:noFill/>
        </a:ln>
        <a:effectLst/>
      </c:spPr>
      <c:txPr>
        <a:bodyPr rot="0" spcFirstLastPara="1" vertOverflow="ellipsis" vert="horz" wrap="square" anchor="ctr" anchorCtr="1"/>
        <a:lstStyle/>
        <a:p>
          <a:pPr>
            <a:defRPr sz="900" b="0" i="0" u="none" strike="noStrike" kern="1200" baseline="0">
              <a:solidFill>
                <a:schemeClr val="dk1">
                  <a:lumMod val="75000"/>
                  <a:lumOff val="25000"/>
                </a:schemeClr>
              </a:solidFill>
              <a:latin typeface="+mn-lt"/>
              <a:ea typeface="+mn-ea"/>
              <a:cs typeface="+mn-cs"/>
            </a:defRPr>
          </a:pPr>
          <a:endParaRPr lang="en-US"/>
        </a:p>
      </c:txPr>
    </c:legend>
    <c:plotVisOnly val="1"/>
    <c:dispBlanksAs val="gap"/>
    <c:showDLblsOverMax val="0"/>
  </c:chart>
  <c:spPr>
    <a:gradFill flip="none" rotWithShape="1">
      <a:gsLst>
        <a:gs pos="0">
          <a:schemeClr val="lt1"/>
        </a:gs>
        <a:gs pos="39000">
          <a:schemeClr val="lt1"/>
        </a:gs>
        <a:gs pos="100000">
          <a:schemeClr val="lt1">
            <a:lumMod val="75000"/>
          </a:schemeClr>
        </a:gs>
      </a:gsLst>
      <a:path path="circle">
        <a:fillToRect l="50000" t="-80000" r="50000" b="180000"/>
      </a:path>
      <a:tileRect/>
    </a:gradFill>
    <a:ln w="9525" cap="flat" cmpd="sng" algn="ctr">
      <a:solidFill>
        <a:schemeClr val="dk1">
          <a:lumMod val="25000"/>
          <a:lumOff val="75000"/>
        </a:schemeClr>
      </a:solidFill>
      <a:round/>
    </a:ln>
    <a:effectLst/>
  </c:spPr>
  <c:txPr>
    <a:bodyPr/>
    <a:lstStyle/>
    <a:p>
      <a:pPr>
        <a:defRPr/>
      </a:pPr>
      <a:endParaRPr lang="en-US"/>
    </a:p>
  </c:txPr>
  <c:externalData r:id="rId1">
    <c:autoUpdate val="0"/>
  </c:externalData>
</c:chartSpace>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file>

<file path=customXml/itemProps1.xml><?xml version="1.0" encoding="utf-8"?>
<ds:datastoreItem xmlns:ds="http://schemas.openxmlformats.org/officeDocument/2006/customXml" ds:itemID="{F401BD08-1D34-4E62-BDF1-EA85120C088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679</Words>
  <Characters>3876</Characters>
  <Application>Microsoft Office Word</Application>
  <DocSecurity>0</DocSecurity>
  <Lines>32</Lines>
  <Paragraphs>9</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4546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Arjuna George</dc:creator>
  <cp:lastModifiedBy>Doug Ponsford</cp:lastModifiedBy>
  <cp:revision>2</cp:revision>
  <cp:lastPrinted>2016-02-12T20:17:00Z</cp:lastPrinted>
  <dcterms:created xsi:type="dcterms:W3CDTF">2016-04-16T17:06:00Z</dcterms:created>
  <dcterms:modified xsi:type="dcterms:W3CDTF">2016-04-16T17:06:00Z</dcterms:modified>
</cp:coreProperties>
</file>